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0" w:footer="720"/>
          <w:pgNumType w:start="1"/>
        </w:sectPr>
      </w:pPr>
      <w:bookmarkStart w:colFirst="0" w:colLast="0" w:name="_gmc5jxbushmu"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UNICEF draft (Issue #1)</w:t>
      </w:r>
      <w:r w:rsidDel="00000000" w:rsidR="00000000" w:rsidRPr="00000000">
        <w:rPr>
          <w:rtl w:val="0"/>
        </w:rPr>
      </w:r>
    </w:p>
    <w:p w:rsidR="00000000" w:rsidDel="00000000" w:rsidP="00000000" w:rsidRDefault="00000000" w:rsidRPr="00000000" w14:paraId="00000002">
      <w:pPr>
        <w:widowControl w:val="0"/>
        <w:spacing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International Children’s Emergency Fund (UNICEF)</w:t>
      </w:r>
    </w:p>
    <w:p w:rsidR="00000000" w:rsidDel="00000000" w:rsidP="00000000" w:rsidRDefault="00000000" w:rsidRPr="00000000" w14:paraId="00000003">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Combating the recruitment and exploitation of children by armed groups and criminal organizations</w:t>
      </w:r>
    </w:p>
    <w:p w:rsidR="00000000" w:rsidDel="00000000" w:rsidP="00000000" w:rsidRDefault="00000000" w:rsidRPr="00000000" w14:paraId="00000004">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Sofia Rios and Saksham Seth</w:t>
      </w:r>
    </w:p>
    <w:p w:rsidR="00000000" w:rsidDel="00000000" w:rsidP="00000000" w:rsidRDefault="00000000" w:rsidRPr="00000000" w14:paraId="00000005">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International Children’s Emergency Fund</w:t>
      </w:r>
    </w:p>
    <w:p w:rsidR="00000000" w:rsidDel="00000000" w:rsidP="00000000" w:rsidRDefault="00000000" w:rsidRPr="00000000" w14:paraId="00000006">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0"/>
        <w:spacing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42037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4203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rPr>
      </w:pPr>
      <w:hyperlink r:id="rId7">
        <w:r w:rsidDel="00000000" w:rsidR="00000000" w:rsidRPr="00000000">
          <w:rPr>
            <w:rFonts w:ascii="Century Gothic" w:cs="Century Gothic" w:eastAsia="Century Gothic" w:hAnsi="Century Gothic"/>
            <w:rtl w:val="0"/>
          </w:rPr>
          <w:t xml:space="preserve">https://www.accord.org.za/conflict-trends/understanding-recruitment-child-soldiers-africa/</w:t>
        </w:r>
      </w:hyperlink>
      <w:r w:rsidDel="00000000" w:rsidR="00000000" w:rsidRPr="00000000">
        <w:rPr>
          <w:rtl w:val="0"/>
        </w:rPr>
      </w:r>
    </w:p>
    <w:p w:rsidR="00000000" w:rsidDel="00000000" w:rsidP="00000000" w:rsidRDefault="00000000" w:rsidRPr="00000000" w14:paraId="0000000A">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Fonts w:ascii="Century Gothic" w:cs="Century Gothic" w:eastAsia="Century Gothic" w:hAnsi="Century Gothic"/>
          <w:color w:val="0000ff"/>
          <w:rtl w:val="0"/>
        </w:rPr>
        <w:t xml:space="preserve"> </w:t>
      </w:r>
      <w:r w:rsidDel="00000000" w:rsidR="00000000" w:rsidRPr="00000000">
        <w:rPr>
          <w:rtl w:val="0"/>
        </w:rPr>
      </w:r>
    </w:p>
    <w:p w:rsidR="00000000" w:rsidDel="00000000" w:rsidP="00000000" w:rsidRDefault="00000000" w:rsidRPr="00000000" w14:paraId="0000000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 can we call it “peace” when, in the shadow of our world, children are being recruited as soldiers, some being as young as nine, being forced to carry guns, run errands for gangs, and even take part in killings while the rest of the world watches and pretends this isn’t war? If a child is being used as a weapon, then whose fault is it that we still treat this as a “crime” and not a conflict? And if we keep calling it “just urban violence," then who are we really protecting? Our comfort or the generation we are letting bleed out on the streets? </w:t>
        <w:br w:type="textWrapping"/>
        <w:br w:type="textWrapping"/>
        <w:t xml:space="preserve">The use of children in war is not new. For most of human history, children as young as twelve were accepted as drummers, messengers, and soldiers in armies across the world. It was not until 1989 that the UN Convention on the Rights of the Child formally defined anyone under eighteen as a child and set the foundation for their protection in conflict (UNICEF, “History of Child Rights”). In 2000, the Optional Protocol on the Involvement of Children in Armed Conflict (OPAC) was implemented, prohibiting the recruitment and use of anyone under eighteen by armed forces and groups (United Nations General Assembly). It has since been ratified by 173 countries (“Recruitment of Child Soldiers Is on the Rise, despite Global Commitments”). In 2005, the UN Security Council established the Monitoring and Reporting Mechanism (MRM) through Resolution 1612 (2005), which created the first systematic framework for documenting the six grave violations against children in armed conflict (UNICEF USA). Yet, despite these implementations, the practice has not declined. It has mutated.</w:t>
        <w:br w:type="textWrapping"/>
        <w:br w:type="textWrapping"/>
        <w:t xml:space="preserve">Between 2005 and 2022, the United Nations verified a staggering 315,000 grave violations against children. These include 120,000 children killed or maimed and 32,500 children abducted. More than 16,000 children were subjected to sexual violence. 105,000 children were recruited and used by parties to armed conflict worldwide, with UNICEF acknowledging this figure represents only a fraction of the true total since monitors cannot reach every war zone. Additionally, millions more children have been displaced from their homes and communities and lost friends and family (UNICEF, “More than 300,000 Grave Violations against Children in Conflict Verified Worldwide in Past 18 Years”). In 2024 alone, the UN verified 7,402 new cases of child recruitment across 25 country situations, part of the highest number of grave violations against children ever recorded since the monitoring mandate began (Vinet, “22,495 Haunting Cries: Children Affected by Conflict  Endured an Unconscionable Number of Grave Violations in 2024 – Office of the Special Representative of the Secretary-General for Children and Armed Conflict”). But the issue is no longer confined to traditional battlefields. In Latin America and the Caribbean (LAC), organized criminal groups now recruit children as young as nine to serve as lookouts, drug couriers, informants, and assassins (Fox). In Haiti, child recruitment by armed groups surged 70% in a single year. UNICEF estimates up to half of all armed group members are children, a figure that, according to the agency’s 2026 update, tripled again over 2025 as gangs expanded control over 90% of Port-au-Prince (UNICEF, “Child Recruitment in Haiti Surges Threefold in Just One Year – UNICEF”). In Mexico, the US Bureau of International Labor Affairs estimates that 30,000 children have been drawn into organized crime, with cartels increasingly using social media platforms to reach children (Reuters).</w:t>
        <w:br w:type="textWrapping"/>
        <w:br w:type="textWrapping"/>
        <w:t xml:space="preserve">The reasons children are recruited are rarely mysterious. Across every affected region, the same structural conditions recur: poverty, collapsed education systems, displacement, and the absence of any visible alternatives. In Latin America and the Caribbean (LAC), the International Labour Organization estimates that 34 million young people are neither in school, employment, nor training, forming a marginalized population that criminal organizations actively recruit from (Kiss et al.). In the Democratic Republic of Congo, where 77% of the population lives on less than $2.15 a day, UNICEF calls it “the highest number of children conscripted into armed groups in the world," with displacement from ongoing violence causing families to move into camps where recruitment and abduction remain constant threats (UNICEF USA, “UNICEF USA”). In the Lake Chad Basin, research by the UN University’s Managing Exits from Armed Conflict project found that boys facing food insecurity were 40% more likely to join Boko Haram and that Boko Haram’s recruitment strategy is deliberately “built around poverty, lack of education, and social marginalization" in border communities where state presence is weak (ADF). In Myanmar, forced conscription has surged since the 2021 military coup, with the UN verifying over 1,800 children in areas where armed conflict has displaced 3.6 million people and collapsed the education system (Human Rights Watch, “Myanmar: Stop Recruitment, Use of Child Soldiers”). For many of these children and their families, an armed group offers what the state and organizations have failed to: income, protection, identity, and a sense of belonging. The criminal organizations know this, and they can exploit it deliberately, causing hundreds of thousands of innocent lives to be destroyed.</w:t>
        <w:br w:type="textWrapping"/>
        <w:br w:type="textWrapping"/>
        <w:t xml:space="preserve">This issue is controversial not because the recruitment itself is defensible but because the international community has not reached an agreement on how to treat the children who are recruited. Criminal organizations and armed groups deliberately exploit a legal gap: children are cheaper, easily manipulated, and less likely to be suspicious to authorities (Fox). Yet, when children escape, defect, or are captured, the protection they are supposedly entitled to often evaporates. International law recognizes children associated with armed groups primarily as victims of serious violations who require rehabilitation and reintegration (Vinet, “Children in Detention – </w:t>
        <w:tab/>
        <w:t xml:space="preserve">Office of the Special Representative of the Secretary-General for Children and Armed Conflict”). However, governments increasingly treat them as threats. The watchlist on Children and Armed Conflict concludes that children in these contexts are “doubly victimized—first by armed groups that attack their homes and schools and recruit or abduct them and then by government authorities who imprison them.” (Watchlist and Human Rights Watch).</w:t>
        <w:br w:type="textWrapping"/>
        <w:br w:type="textWrapping"/>
        <w:t xml:space="preserve">“Strength in Unity, Taking Accountability” is especially demanding in this context because accountability operates on two levels simultaneously. The first is the accountability of those who recruit: the armed groups, criminal organizations, and state forces that use children in hostilities in violation of international humanitarian law, including the Optional Protocol to the Convention on the Rights of the Child, which has been ratified by 173 countries (UN News, “Recruitment of Child Soldiers Is on the Rise, despite Global Commitments”). The second, and more puzzling, is the accountability of the international community itself. The poverty, displacement, educational collapse, and institutional vacuum make recruitment possible in the first place. These instruments already exist; the question is whether states will translate those commitments into enforcement, funding, and rehabilitation programs that reach the children who need them. Combating the recruitment and exploitation of children by armed groups and criminal organizations requires neither silence nor condemnation; it requires that the international community hold itself and its peers to the standards it has already agreed to. And that it does so before another generation is lost to a war or a gang that never should have had them.</w:t>
      </w:r>
    </w:p>
    <w:p w:rsidR="00000000" w:rsidDel="00000000" w:rsidP="00000000" w:rsidRDefault="00000000" w:rsidRPr="00000000" w14:paraId="0000000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Child Recruitment: </w:t>
      </w:r>
      <w:r w:rsidDel="00000000" w:rsidR="00000000" w:rsidRPr="00000000">
        <w:rPr>
          <w:rFonts w:ascii="Century Gothic" w:cs="Century Gothic" w:eastAsia="Century Gothic" w:hAnsi="Century Gothic"/>
          <w:rtl w:val="0"/>
        </w:rPr>
        <w:t xml:space="preserve">The process by which children are enlisted, forced, or influenced to join armed groups, gangs, or criminal organizations for multiple reasons, such as fighting, spying, or trafficking. </w:t>
        <w:br w:type="textWrapping"/>
      </w:r>
      <w:r w:rsidDel="00000000" w:rsidR="00000000" w:rsidRPr="00000000">
        <w:rPr>
          <w:rtl w:val="0"/>
        </w:rPr>
      </w:r>
    </w:p>
    <w:p w:rsidR="00000000" w:rsidDel="00000000" w:rsidP="00000000" w:rsidRDefault="00000000" w:rsidRPr="00000000" w14:paraId="0000001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Forced Recruitment:</w:t>
      </w:r>
      <w:r w:rsidDel="00000000" w:rsidR="00000000" w:rsidRPr="00000000">
        <w:rPr>
          <w:rFonts w:ascii="Century Gothic" w:cs="Century Gothic" w:eastAsia="Century Gothic" w:hAnsi="Century Gothic"/>
          <w:rtl w:val="0"/>
        </w:rPr>
        <w:t xml:space="preserve"> The coercion, abduction, or use of threats to compel children to join armed groups or criminal activities.</w:t>
      </w:r>
    </w:p>
    <w:p w:rsidR="00000000" w:rsidDel="00000000" w:rsidP="00000000" w:rsidRDefault="00000000" w:rsidRPr="00000000" w14:paraId="00000013">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Voluntary Recruitment: </w:t>
      </w:r>
      <w:r w:rsidDel="00000000" w:rsidR="00000000" w:rsidRPr="00000000">
        <w:rPr>
          <w:rFonts w:ascii="Century Gothic" w:cs="Century Gothic" w:eastAsia="Century Gothic" w:hAnsi="Century Gothic"/>
          <w:rtl w:val="0"/>
        </w:rPr>
        <w:t xml:space="preserve">When children join armed groups by choice, often due to poverty, lack of education, insecurity, or social pressure (still considered exploitation under international law).</w:t>
      </w:r>
    </w:p>
    <w:p w:rsidR="00000000" w:rsidDel="00000000" w:rsidP="00000000" w:rsidRDefault="00000000" w:rsidRPr="00000000" w14:paraId="00000015">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Child Soldier: </w:t>
      </w:r>
      <w:r w:rsidDel="00000000" w:rsidR="00000000" w:rsidRPr="00000000">
        <w:rPr>
          <w:rFonts w:ascii="Century Gothic" w:cs="Century Gothic" w:eastAsia="Century Gothic" w:hAnsi="Century Gothic"/>
          <w:rtl w:val="0"/>
        </w:rPr>
        <w:t xml:space="preserve">Any person under 18 who is used by armed groups or forces. </w:t>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FARC: </w:t>
      </w:r>
      <w:r w:rsidDel="00000000" w:rsidR="00000000" w:rsidRPr="00000000">
        <w:rPr>
          <w:rFonts w:ascii="Century Gothic" w:cs="Century Gothic" w:eastAsia="Century Gothic" w:hAnsi="Century Gothic"/>
          <w:rtl w:val="0"/>
        </w:rPr>
        <w:t xml:space="preserve">stands for “Fuerzas Armadas Revolucionarias de Colombia”, It's a group in Colombia that fought the government and used children in its activities. It made peace in 2016, but some parts of the group still exist today.</w:t>
      </w:r>
    </w:p>
    <w:p w:rsidR="00000000" w:rsidDel="00000000" w:rsidP="00000000" w:rsidRDefault="00000000" w:rsidRPr="00000000" w14:paraId="0000001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Child Soldiers Prevention Act (CSPA):</w:t>
      </w:r>
      <w:r w:rsidDel="00000000" w:rsidR="00000000" w:rsidRPr="00000000">
        <w:rPr>
          <w:rFonts w:ascii="Century Gothic" w:cs="Century Gothic" w:eastAsia="Century Gothic" w:hAnsi="Century Gothic"/>
          <w:rtl w:val="0"/>
        </w:rPr>
        <w:t xml:space="preserve"> A U.S. law that stops military aid from going to countries that use child soldiers.</w:t>
        <w:br w:type="textWrapping"/>
      </w:r>
    </w:p>
    <w:p w:rsidR="00000000" w:rsidDel="00000000" w:rsidP="00000000" w:rsidRDefault="00000000" w:rsidRPr="00000000" w14:paraId="0000001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Demobilization:</w:t>
      </w:r>
      <w:r w:rsidDel="00000000" w:rsidR="00000000" w:rsidRPr="00000000">
        <w:rPr>
          <w:rFonts w:ascii="Century Gothic" w:cs="Century Gothic" w:eastAsia="Century Gothic" w:hAnsi="Century Gothic"/>
          <w:rtl w:val="0"/>
        </w:rPr>
        <w:t xml:space="preserve"> The formal process of releasing children from armed groups or forces.</w:t>
      </w:r>
    </w:p>
    <w:p w:rsidR="00000000" w:rsidDel="00000000" w:rsidP="00000000" w:rsidRDefault="00000000" w:rsidRPr="00000000" w14:paraId="0000001C">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DDR Programs (Disarmament, Demobilization, and Reintegration): </w:t>
      </w:r>
      <w:r w:rsidDel="00000000" w:rsidR="00000000" w:rsidRPr="00000000">
        <w:rPr>
          <w:rFonts w:ascii="Century Gothic" w:cs="Century Gothic" w:eastAsia="Century Gothic" w:hAnsi="Century Gothic"/>
          <w:rtl w:val="0"/>
        </w:rPr>
        <w:t xml:space="preserve">UN-supported programs aimed at disarming combatants and helping them transition back into civilian life.</w:t>
      </w:r>
    </w:p>
    <w:p w:rsidR="00000000" w:rsidDel="00000000" w:rsidP="00000000" w:rsidRDefault="00000000" w:rsidRPr="00000000" w14:paraId="0000001E">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Optional Protocol on the Involvement of Children in Armed Conflict (OPAC)</w:t>
      </w:r>
      <w:r w:rsidDel="00000000" w:rsidR="00000000" w:rsidRPr="00000000">
        <w:rPr>
          <w:rFonts w:ascii="Century Gothic" w:cs="Century Gothic" w:eastAsia="Century Gothic" w:hAnsi="Century Gothic"/>
          <w:rtl w:val="0"/>
        </w:rPr>
        <w:t xml:space="preserve">: An international agreement that states the minimum age for direct participation in hostilities and prohibits child recruitment by armed groups.</w:t>
      </w:r>
    </w:p>
    <w:p w:rsidR="00000000" w:rsidDel="00000000" w:rsidP="00000000" w:rsidRDefault="00000000" w:rsidRPr="00000000" w14:paraId="0000002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the Rights of the Child (CRC):</w:t>
      </w:r>
      <w:r w:rsidDel="00000000" w:rsidR="00000000" w:rsidRPr="00000000">
        <w:rPr>
          <w:rFonts w:ascii="Century Gothic" w:cs="Century Gothic" w:eastAsia="Century Gothic" w:hAnsi="Century Gothic"/>
          <w:rtl w:val="0"/>
        </w:rPr>
        <w:t xml:space="preserve"> A key UN treaty that protects children’s rights, including protection from exploitation and armed conflict.</w:t>
      </w:r>
      <w:r w:rsidDel="00000000" w:rsidR="00000000" w:rsidRPr="00000000">
        <w:rPr>
          <w:rtl w:val="0"/>
        </w:rPr>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4">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Main Idea</w:t>
      </w:r>
    </w:p>
    <w:p w:rsidR="00000000" w:rsidDel="00000000" w:rsidP="00000000" w:rsidRDefault="00000000" w:rsidRPr="00000000" w14:paraId="0000002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most controversial aspect of this issue  is the different approaches that governments take when addressing the recruitment and exploitation of children by armed groups and criminal organizations. While some nations prioritize strict security measures and policies to combat gangs and armed groups, others emphasize rehabilitation, prevention, and the protection of children's rights. This difference is influenced by factors such as poverty, levels of violence, access to education, and the strength of state institutions. In many cases, children are both victims and participants in criminal activities, making it difficult to determine whether they should be treated as offenders or individuals who need protection. It is essential to develop balanced strategies that reduce recruitment and protect affected children (United Nations Children's Fund). </w:t>
      </w:r>
    </w:p>
    <w:p w:rsidR="00000000" w:rsidDel="00000000" w:rsidP="00000000" w:rsidRDefault="00000000" w:rsidRPr="00000000" w14:paraId="00000026">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7">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Causes and Methods of Recruitment</w:t>
      </w:r>
    </w:p>
    <w:p w:rsidR="00000000" w:rsidDel="00000000" w:rsidP="00000000" w:rsidRDefault="00000000" w:rsidRPr="00000000" w14:paraId="0000002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Structural and social factors, including poverty, lack of education, family instability, and limited economic opportunities, drive child recruitment. In many communities, armed groups and criminal organizations offer money, protection, and in some cases a sense of belonging, which attracts vulnerable children. Recruitment can occur through both force and manipulation, with children being threatened, forced, or convinced into joining these groups (United Nations Children's Fund). Once recruited, children are used in various roles such as fighters, messengers, or participants in illegal activities like drug trafficking and extortion. This is especially common in urban areas, where gangs play a major role in exploiting children. </w:t>
      </w:r>
    </w:p>
    <w:p w:rsidR="00000000" w:rsidDel="00000000" w:rsidP="00000000" w:rsidRDefault="00000000" w:rsidRPr="00000000" w14:paraId="0000002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Impact and Key Challenges</w:t>
      </w:r>
    </w:p>
    <w:p w:rsidR="00000000" w:rsidDel="00000000" w:rsidP="00000000" w:rsidRDefault="00000000" w:rsidRPr="00000000" w14:paraId="0000002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consequences of child recruitment are severe, as children often suffer psychological trauma, physical harm, and loss of education, limiting their future opportunities (United Nations Children's Fund). On a broader level, this issue fuels cycles of violence, weakens communities, and increases instability. A key challenge is balancing security measures with the protection of children's rights. While some countries adopt strict “tough on crime” policies, these often fail to address the root causes and may further harm children. Additionally, weak institutions and limited data make effective responses difficult, leading to ongoing debate over whether to prioritize enforcement or long-term prevention strategies (United Nations Office on Drugs and Crime). </w:t>
      </w:r>
    </w:p>
    <w:p w:rsidR="00000000" w:rsidDel="00000000" w:rsidP="00000000" w:rsidRDefault="00000000" w:rsidRPr="00000000" w14:paraId="0000002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2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Fonts w:ascii="Century Gothic" w:cs="Century Gothic" w:eastAsia="Century Gothic" w:hAnsi="Century Gothic"/>
          <w:b w:val="1"/>
          <w:bCs w:val="1"/>
          <w:rtl w:val="0"/>
        </w:rPr>
        <w:br w:type="textWrapping"/>
        <w:t xml:space="preserve">Colombia</w:t>
        <w:br w:type="textWrapping"/>
      </w:r>
      <w:r w:rsidDel="00000000" w:rsidR="00000000" w:rsidRPr="00000000">
        <w:rPr>
          <w:rFonts w:ascii="Century Gothic" w:cs="Century Gothic" w:eastAsia="Century Gothic" w:hAnsi="Century Gothic"/>
          <w:rtl w:val="0"/>
        </w:rPr>
        <w:t xml:space="preserve">Colombia represents one of the most extensively documented cases of child recruitment in modern history. According to the country’s  Special Jurisdiction for Peace (JEP), a transitional justice tribunal established under the 2016 Peace Accords, the now-demobilized Revolutionary Armed Forces of Colombia or “Fuerzas Armadas Revolucionarias de Colombia” (FARC) recruited at least 18,667 children between 1971 and 2016. In November 2024, six former FARC commanders were formally indicted for war crimes, including forced recruitment, sexual violence, and torture (Human Rights Watch, “Colombia Charges”). Recruitment did not end with the FARC’s demobilization. The International Crisis Group reports that more than 620 cases of child recruitment were registered in Colombia in 2024 alone, a tenfold increase from 2020. There are FARC dissident factions, the National Liberation Army (ELN), and the Gulf Clan now leading the practice (“Kids on the Front Lines: Stopping Child Recruitment in Colombia | International Crisis Group”). </w:t>
      </w:r>
      <w:r w:rsidDel="00000000" w:rsidR="00000000" w:rsidRPr="00000000">
        <w:rPr>
          <w:rFonts w:ascii="Century Gothic" w:cs="Century Gothic" w:eastAsia="Century Gothic" w:hAnsi="Century Gothic"/>
          <w:b w:val="1"/>
          <w:bCs w:val="1"/>
          <w:rtl w:val="0"/>
        </w:rPr>
        <w:br w:type="textWrapping"/>
        <w:br w:type="textWrapping"/>
      </w:r>
      <w:r w:rsidDel="00000000" w:rsidR="00000000" w:rsidRPr="00000000">
        <w:rPr>
          <w:rFonts w:ascii="Century Gothic" w:cs="Century Gothic" w:eastAsia="Century Gothic" w:hAnsi="Century Gothic"/>
          <w:rtl w:val="0"/>
        </w:rPr>
        <w:t xml:space="preserve">The Colombian government’s official position aligns with international standards. Under the 2016 Peace Agreement, recruited children are to be treated as victims rather than perpetrators. With a focus on community-based rehabilitation (“Public Statement by Chair of Working Group on Children and Armed Conflict | UN Meetings Coverage and Press Releases”). Colombian armed forces rescued 294 minors from armed groups in 2024 (“Kids on the Front Lines: Stopping Child Recruitment in Colombia | International Crisis Group”). However, the government’s peace negotiations with multiple groups have been failing to prevent recruitment, and child recruitment cases tend to be heavily underreported because families fear reprisals from the same groups they would denounce. </w:t>
      </w:r>
      <w:r w:rsidDel="00000000" w:rsidR="00000000" w:rsidRPr="00000000">
        <w:rPr>
          <w:rFonts w:ascii="Century Gothic" w:cs="Century Gothic" w:eastAsia="Century Gothic" w:hAnsi="Century Gothic"/>
          <w:b w:val="1"/>
          <w:bCs w:val="1"/>
          <w:rtl w:val="0"/>
        </w:rPr>
        <w:br w:type="textWrapping"/>
        <w:br w:type="textWrapping"/>
        <w:t xml:space="preserve">Democratic Republic of the Congo (DRC)</w:t>
        <w:br w:type="textWrapping"/>
      </w:r>
      <w:r w:rsidDel="00000000" w:rsidR="00000000" w:rsidRPr="00000000">
        <w:rPr>
          <w:rFonts w:ascii="Century Gothic" w:cs="Century Gothic" w:eastAsia="Century Gothic" w:hAnsi="Century Gothic"/>
          <w:rtl w:val="0"/>
        </w:rPr>
        <w:t xml:space="preserve">UNICEF has described the DRC as the country with “the highest number of children conscripted into armed groups in the world” (UNICEF USA, “Democratic Republic of Congo”). In 2024, the UN verified 4,043 grave violations against 3,418 children in the DRC, with the recruitment and use of 2,365 children by non-state armed groups, a 25% increase from the previous year (Watchlist, “D.R. Congo”). Seventeen non-state armed groups, alongside the Armed Forces of the DRC (FARDC), are currently listed in the annexes of the 2025 UN Secretary-General’s Annual Report on children and armed conflict for grave violations (Watchlist, “D.R. Congo”).</w:t>
      </w:r>
      <w:r w:rsidDel="00000000" w:rsidR="00000000" w:rsidRPr="00000000">
        <w:rPr>
          <w:rFonts w:ascii="Century Gothic" w:cs="Century Gothic" w:eastAsia="Century Gothic" w:hAnsi="Century Gothic"/>
          <w:b w:val="1"/>
          <w:bCs w:val="1"/>
          <w:rtl w:val="0"/>
        </w:rPr>
        <w:br w:type="textWrapping"/>
        <w:br w:type="textWrapping"/>
      </w:r>
      <w:r w:rsidDel="00000000" w:rsidR="00000000" w:rsidRPr="00000000">
        <w:rPr>
          <w:rFonts w:ascii="Century Gothic" w:cs="Century Gothic" w:eastAsia="Century Gothic" w:hAnsi="Century Gothic"/>
          <w:rtl w:val="0"/>
        </w:rPr>
        <w:t xml:space="preserve">The DRC’s official position on child recruitment is one of formal commitment paired with structural failure. In 2012, the government signed an action plan with the United Nations to end child recruitment in the country. In 2017, the FARDC  was officially delisted from the UN’s list of state forces that recruit child soldiers, the second armed force in history to be delisted (allAfrica, “Emerging From a Legacy of Violence”). Though the deeper challenge lies with armed groups in the country’s eastern provinces, particularly the M23 movement, which captured the city of Goma, the capital of North Kivu, in early 2025 and has been documented as forcibly recruiting children as young as eight. In one M23 camp, 20% of its trainees are children. These militias target children because they lack power, protection, and agency (Borgen Project), issues for which the DRC seeks assistance from the international community.</w:t>
      </w:r>
      <w:r w:rsidDel="00000000" w:rsidR="00000000" w:rsidRPr="00000000">
        <w:rPr>
          <w:rFonts w:ascii="Century Gothic" w:cs="Century Gothic" w:eastAsia="Century Gothic" w:hAnsi="Century Gothic"/>
          <w:b w:val="1"/>
          <w:bCs w:val="1"/>
          <w:rtl w:val="0"/>
        </w:rPr>
        <w:br w:type="textWrapping"/>
        <w:br w:type="textWrapping"/>
        <w:t xml:space="preserve">Haiti</w:t>
        <w:br w:type="textWrapping"/>
      </w:r>
      <w:r w:rsidDel="00000000" w:rsidR="00000000" w:rsidRPr="00000000">
        <w:rPr>
          <w:rFonts w:ascii="Century Gothic" w:cs="Century Gothic" w:eastAsia="Century Gothic" w:hAnsi="Century Gothic"/>
          <w:rtl w:val="0"/>
        </w:rPr>
        <w:t xml:space="preserve">Haiti has emerged as one of the most acute child-recruitment crises in the Western Hemisphere, despite not being in a traditional armed conflict. UNICEF reported in February 2026 that the number of children recruited by armed groups in Haiti increased by ~200% in 2025, building on a 70% increase recorded the previous year, with up to half of all armed-group members in the country now being children (UNICEF, “Child Recruitment in Haiti”). Armed groups now control approximately 90% of Port-au-Prince, and more than 1.4 million people have been internally displaced, over half of them being children (UNICEF, “Child Recruitment In Haiti”). In 2025, the Haitian government and UNICEF jointly launched the PREJEUNES program to strengthen prevention of and response to child recruitment, and over 500 children formerly associated with armed groups have received specialized protection and reintegration support since 2024 (“The Haitian Government and UNICEF Launch the PREJEUNES Programme to Address the Recruitment of Children and Youth by Armed Gangs”). Yet, Haiti’s institutions are collapsing; over 1,600 schools were forced to close in 2024 by gang violence. Leaving the government to rely on international support to address a crisis that has overwhelmed domestic capacity (HAITI Protection Analysis Update)</w:t>
        <w:br w:type="textWrapping"/>
      </w:r>
      <w:r w:rsidDel="00000000" w:rsidR="00000000" w:rsidRPr="00000000">
        <w:rPr>
          <w:rFonts w:ascii="Century Gothic" w:cs="Century Gothic" w:eastAsia="Century Gothic" w:hAnsi="Century Gothic"/>
          <w:b w:val="1"/>
          <w:bCs w:val="1"/>
          <w:rtl w:val="0"/>
        </w:rPr>
        <w:br w:type="textWrapping"/>
        <w:t xml:space="preserve">Mexico</w:t>
        <w:br w:type="textWrapping"/>
      </w:r>
      <w:r w:rsidDel="00000000" w:rsidR="00000000" w:rsidRPr="00000000">
        <w:rPr>
          <w:rFonts w:ascii="Century Gothic" w:cs="Century Gothic" w:eastAsia="Century Gothic" w:hAnsi="Century Gothic"/>
          <w:rtl w:val="0"/>
        </w:rPr>
        <w:t xml:space="preserve">Mexico represents the defining case of how child recruitment by criminal organizations operates outside the framework of traditional armed conflict. The US Bureau of International Labor Affairs estimates that approximately 30,000 children have been drawn into Mexican organized crime (Mexico SIGNIFICANT ADVANCEMENT PREVALENCE AND SECTORAL DISTRIBUTION OF CHILD LABOR), while advocacy groups warn that as many as 200,000 children remain vulnerable to recruitment (US News &amp; World Report, “How Mexico's Cartels Recruit Children and Groom Them Into Killers”). A Mexican government report cited by Reuters found that 70% of adolescents recruited by cartels grew up surrounded by extreme violence, and minors as young as six have joined organized crime (US News &amp; World Report, “How Mexico's Cartels Recruit Children and Groom Them Into Killers”). </w:t>
      </w:r>
      <w:r w:rsidDel="00000000" w:rsidR="00000000" w:rsidRPr="00000000">
        <w:rPr>
          <w:rFonts w:ascii="Century Gothic" w:cs="Century Gothic" w:eastAsia="Century Gothic" w:hAnsi="Century Gothic"/>
          <w:b w:val="1"/>
          <w:bCs w:val="1"/>
          <w:rtl w:val="0"/>
        </w:rPr>
        <w:br w:type="textWrapping"/>
        <w:br w:type="textWrapping"/>
      </w:r>
      <w:r w:rsidDel="00000000" w:rsidR="00000000" w:rsidRPr="00000000">
        <w:rPr>
          <w:rFonts w:ascii="Century Gothic" w:cs="Century Gothic" w:eastAsia="Century Gothic" w:hAnsi="Century Gothic"/>
          <w:rtl w:val="0"/>
        </w:rPr>
        <w:t xml:space="preserve">The Mexican government’s official position is that it actively combats organized crime, and its National Guard has issued guidelines on the safe use of video games, while a proposal currently in the Lower House seeks to criminalize the cultural glorification of crime in music, television, and video games (US News &amp; World Report, “How Mexico's Cartels Recruit Children and Groom Them Into Killers”). However, Mexican civil society organizations such as Reinserta have criticized the state for failing to provide adequate prevention, protection, and reintegration services and for treating children captured during cartel operations as criminals rather than victims of trafficking and forced recruitment (US News &amp; World Report, “How Mexico's Cartels Recruit Children and Groom Them Into Killers”). </w:t>
        <w:br w:type="textWrapping"/>
        <w:br w:type="textWrapping"/>
      </w:r>
      <w:r w:rsidDel="00000000" w:rsidR="00000000" w:rsidRPr="00000000">
        <w:rPr>
          <w:rFonts w:ascii="Century Gothic" w:cs="Century Gothic" w:eastAsia="Century Gothic" w:hAnsi="Century Gothic"/>
          <w:b w:val="1"/>
          <w:bCs w:val="1"/>
          <w:rtl w:val="0"/>
        </w:rPr>
        <w:t xml:space="preserve">Myanmar</w:t>
        <w:br w:type="textWrapping"/>
      </w:r>
      <w:r w:rsidDel="00000000" w:rsidR="00000000" w:rsidRPr="00000000">
        <w:rPr>
          <w:rFonts w:ascii="Century Gothic" w:cs="Century Gothic" w:eastAsia="Century Gothic" w:hAnsi="Century Gothic"/>
          <w:rtl w:val="0"/>
        </w:rPr>
        <w:t xml:space="preserve">Myanmar has experienced one of the sharpest surges in child recruitment globally since the military coup of February 2021. Human Rights Watch reports that since the coup, the United Nations has verified over 1,800 cases of recruitment of children, some as young as twelve by junta forces and affiliated groups, with the 2024 enactment of a national conscription law accelerating the practice (Human Rights Watch, “Myanmar: Stop Recruitment, Use of Child Soldiers”). The Office of the Special Representative of the Secretary General for Children and Armed Conflict’s seventh Myanmar report, covering July 2020 to December 2023, documented 5,141 grave violations against 4,089 children, an over 400% increase compared to the previous reporting period, with the Myanmar Armed Forces (MAF) responsible for 80% of the verified violations, while 10% were attributed to armed groups (Vinet, “Myanmar: Sharp Increase in Grave Violations against Children – </w:t>
        <w:tab/>
        <w:t xml:space="preserve">Office of the Special Representative of the Secretary-General for Children and Armed Conflict”). Additionally, approximately 3.6 million people are currently displaced, roughly 90% of them since the 2021 coup (European Commission and Directorate-General for European Civil Protection and Humanitarian Aid Operations).</w:t>
        <w:br w:type="textWrapping"/>
        <w:br w:type="textWrapping"/>
        <w:t xml:space="preserve">The position of Myanmar’s military junta represents perhaps the most direct contradiction to international child protection norms among the countries examined here. Rather than working to end child recruitment, the junta has institutionalized it through forced conscription, disproportionately targeting the urban poor, displaced populations, undocumented persons, and ethnic and religious minorities, including Rohingya Muslims (Human Rights Watch, “Myanmar: Stop Recruitment, Use of Child Soldiers”). The junta has unlawfully recruited thousands of stateless Rohingya, who, under Myanmar law, cannot be lawfully conscripted. because they are denied citizenship. (Human Rights Watch, “Myanmar: Stop Recruitment, Use of Child Soldiers”). The military has also abducted and detained children for alleged association with opposition forces. The 2012 Action Plan signed by the Myanmar Armed Forces with the United Nations remains formally in force, and in March 2025 the junta released 93 individuals recruited as children, a small step within an otherwise deteriorating record (Vinet, “Myanmar: Sharp Increase in Grave Violations against Children – </w:t>
        <w:tab/>
        <w:t xml:space="preserve">Office of the Special Representative of the Secretary-General for Children and Armed Conflict”).</w:t>
        <w:br w:type="textWrapping"/>
      </w:r>
      <w:r w:rsidDel="00000000" w:rsidR="00000000" w:rsidRPr="00000000">
        <w:rPr>
          <w:rFonts w:ascii="Century Gothic" w:cs="Century Gothic" w:eastAsia="Century Gothic" w:hAnsi="Century Gothic"/>
          <w:b w:val="1"/>
          <w:bCs w:val="1"/>
          <w:rtl w:val="0"/>
        </w:rPr>
        <w:br w:type="textWrapping"/>
        <w:t xml:space="preserve">Syria </w:t>
        <w:br w:type="textWrapping"/>
      </w:r>
      <w:r w:rsidDel="00000000" w:rsidR="00000000" w:rsidRPr="00000000">
        <w:rPr>
          <w:rFonts w:ascii="Century Gothic" w:cs="Century Gothic" w:eastAsia="Century Gothic" w:hAnsi="Century Gothic"/>
          <w:rtl w:val="0"/>
        </w:rPr>
        <w:t xml:space="preserve">Yemen has had one of the longest and most heavily documented child recruitment crises of the past decade, with multiple armed actors implicated across more than ten years of war. The United Nations has verified at least 1,851 individual cases of child recruitment or use by Houthis (formally known as “Ansar Allah” or “Partisans of God”) alone since 2010, and the Houthis have been listed in every annual “list of shame” issued by the UN secretary-general since 2011 (Human Rights Watch, “Yemen: Houthis Recruit More Child Soldiers since October 7”). Civil society organizations estimate that the Houthis recruited more than 10,000 children between 2014 and 2021, and a 2023 UN Panel of Experts report found that over one million Yemeni children living in Houthi-controlled areas have been subjected to military propaganda and training in summer camps, with children as young as ten being taught to use AK-47 rifles, grenade launchers, and landmines (GICJ). The 2024 enactment of a national mobilization tied by the Houthis to the war in Gaza has driven a renewed surge in recruitment, with activists reporting children as young as thirteen among the new fighters (Human Rights Watch, “Yemen: Houthis Recruit More Child Soldiers since October 7”).</w:t>
        <w:br w:type="textWrapping"/>
        <w:br w:type="textWrapping"/>
        <w:t xml:space="preserve">The official positions of Yemen’s parties to the conflict reflect a long history of formal commitments paired with weak implementation. The internationally recognized Yemeni government signed an action plan with the United Nations in 2014 to end and prevent the recruitment and use of children, followed by a 2018 roadmap to implement the plan, and has reported establishing child protection units across military regions (United States Department of State). The Houthis, after years of being listed for grave violations, signed their own Action Plan with the UN on 18 April 2022, formally committing to end recruitment and use of children, identify and release children from their ranks within six months, and provide reintegration support (Vinet, “New Action Plan to Strengthen the Protection of Children Affected by Armed Conflict in Yemen Signed with the Houthis – </w:t>
        <w:tab/>
        <w:t xml:space="preserve">Office of the Special Representative of the Secretary-General for Children and Armed Conflict”). Despite these commitments, both the Houthis and the Yemeni government and government-affiliated forces have continued to recruit children, and Human Rights Watch concluded in 2024 that “the Houthis are exploiting the Palestinian cause to recruit more children for their domestic fight in Yemen,” with food baskets and salaries offered to families amid an economic crisis in which 80% of Yemen’s population struggles to access basic services (Human Rights Watch, “Yemen: Houthis Recruit More Child Soldiers since October 7”).</w:t>
      </w:r>
    </w:p>
    <w:p w:rsidR="00000000" w:rsidDel="00000000" w:rsidP="00000000" w:rsidRDefault="00000000" w:rsidRPr="00000000" w14:paraId="0000002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br w:type="textWrapping"/>
        <w:t xml:space="preserve">United States of America</w:t>
        <w:br w:type="textWrapping"/>
      </w:r>
      <w:r w:rsidDel="00000000" w:rsidR="00000000" w:rsidRPr="00000000">
        <w:rPr>
          <w:rFonts w:ascii="Century Gothic" w:cs="Century Gothic" w:eastAsia="Century Gothic" w:hAnsi="Century Gothic"/>
          <w:rtl w:val="0"/>
        </w:rPr>
        <w:t xml:space="preserve">The United States plays a major role in international efforts to combat child recruitment. In 2008, the US passed the Child Soldiers Prevention Act (CSPA), which prohibits American military assistance and arms sales to governments whose security forces or government-supported groups recruit child soldiers. Yet, successive presidents have used national interest waivers to continue providing aid to listed countries. The Democratic Republic of the Congo, for example, has appeared on the CSPA list for fifteen consecutive years and has received more than $72.5 million in arms sales and military assistance through presidential waivers since 2010 (“Democratic Republic of Congo CSPA Country Profile Stimson Center”). The US is also the only UN member state that has not ratified the Convention on the Rights of the Child, though it has ratified its Optional Protocol on the Involvement of Children in Armed Conflict (“Frequently Asked Questions on the Convention on the Rights of the Child”). </w:t>
      </w:r>
      <w:r w:rsidDel="00000000" w:rsidR="00000000" w:rsidRPr="00000000">
        <w:rPr>
          <w:rFonts w:ascii="Century Gothic" w:cs="Century Gothic" w:eastAsia="Century Gothic" w:hAnsi="Century Gothic"/>
          <w:b w:val="1"/>
          <w:bCs w:val="1"/>
          <w:rtl w:val="0"/>
        </w:rPr>
        <w:br w:type="textWrapping"/>
        <w:br w:type="textWrapping"/>
        <w:t xml:space="preserve">United Kingdom</w:t>
        <w:br w:type="textWrapping"/>
      </w:r>
      <w:r w:rsidDel="00000000" w:rsidR="00000000" w:rsidRPr="00000000">
        <w:rPr>
          <w:rFonts w:ascii="Century Gothic" w:cs="Century Gothic" w:eastAsia="Century Gothic" w:hAnsi="Century Gothic"/>
          <w:rtl w:val="0"/>
        </w:rPr>
        <w:t xml:space="preserve">The United Kingdom plays a crucial and active role in the issue of children and armed conflict, both diplomatically and financially. The UK serves as the penholder on several country files related to child protection in conflict zones. The UK has worked to release child soldiers in the Democratic Republic of Congo (DRC), Somalia, Chad, and Myanmar. It is a strong supporter of the “Children, Not Soldiers" campaign launched by the UN in 2014.</w:t>
      </w:r>
      <w:r w:rsidDel="00000000" w:rsidR="00000000" w:rsidRPr="00000000">
        <w:rPr>
          <w:rFonts w:ascii="Century Gothic" w:cs="Century Gothic" w:eastAsia="Century Gothic" w:hAnsi="Century Gothic"/>
          <w:b w:val="1"/>
          <w:bCs w:val="1"/>
          <w:rtl w:val="0"/>
        </w:rPr>
        <w:br w:type="textWrapping"/>
        <w:br w:type="textWrapping"/>
      </w:r>
      <w:r w:rsidDel="00000000" w:rsidR="00000000" w:rsidRPr="00000000">
        <w:rPr>
          <w:rtl w:val="0"/>
        </w:rPr>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br w:type="textWrapping"/>
      </w: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31">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61.52458190917969"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2">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adopted the Convention on the Rights of the Child (CRC), the most rapidly and widely ratified human rights treaty in history. The CRC defines all persons under 18 as children and establishes their right to protection from violence, exploitation, and use in armed conflict (UNICEF, “Frequently Asked Questions on the Convention on the Rights of the Child”).</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4">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adopted the Optional Protocol on the Involvement of Children in Armed Conflict (OPAC) on May 25, 2000, prohibiting the compulsory recruitment of children under 18 by state armed forces and by non-state armed groups. The protocol entered into force on February 12, 2002, and has been ratified by 173 countries to date (UN News).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6">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Security Council unanimously adopts Resolution 1612, formally identifying six grave violations against children in armed conflict, including recruitment and use, and establishing the Monitoring and Reporting Mechanism (MRM) that produces the data used in the UN Secretary-General’s annual report on Children in Armed Conflict, which includes annexes known as the “list of shame." A list of armed forces and groups responsible for these violations (UNICEF, “More than 300,000 Grave Violations against Children in Conflict Verified Worldwide in Past 18 Years”; Vinet, “Monitoring and Reporting on Grave Violations – Office of the Special Representative of the Secretary-General for Children and Armed Conflict”).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8">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France and UNICEF co-host the “Free Children from War” conference in Paris, producing the Paris Principles and Commitments, the leading international framework on prevention of recruitment, release, and reintegration of children associated with armed forces or armed groups. The Principles have since been endorsed by 112 Member States (UNICEF and Save the Children).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A">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Criminal Court delivers its first-ever conviction. Thomas Lubanga Dyilo, leader of the Union of Congolese Patriots in the Democratic Republic of Congo (DRC), was found guilty of conscripting and enlisting children under 15 and using them to participate actively in hostilities, establishing child recruitment as a prosecutable war crime in international jurisprudence (International Criminal Court).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C">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Canada launches the Vancouver Principles on Peacekeeping and the Prevention of the Recruitment and Use of Child Soldiers at the UN Peacekeeping Defense Ministerial Conference. The Principles operationalize child protection within UN peacekeeping operations and are endorsed by 55 founding states, growing to over 100 by 2025 (Canada).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E">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Armed Forces of the Democratic Republic of the Congo (FARDC) are formally delisted from the UN Secretary-General’s list of state forces that recruit child soldiers, the second-oldest armed force in history to be delisted, following Chad. The delisting follows the DRC government’s signing of an action plan with the UN in 2012 (allAfrica).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0">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Security Council unanimously adopts Resolution 2427, which establishes a comprehensive framework for the reintegration of children formerly associated with armed forces and armed groups. The resolution explicitly emphasizes that children associated with armed groups should be treated primarily as victims and prioritizes long-term reintegration over criminalization (Vinet, “UN Special Representative for Children and Armed Conflict Welcomes New Security Council Resolution – </w:t>
              <w:tab/>
              <w:t xml:space="preserve">Office of the Special Representative of the Secretary-General for Children and Armed Conflict”).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2">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military coup in Myanmar overthrows the elected civilian government, triggering nationwide armed conflict. The junta institutes forced conscription, and UN-verified cases of child recruitment surged across the country, with over 1,800 children documented as recruited by the junta and affiliated forces in subsequent years (Human Rights Watch).</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4">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Colombia’s Special Jurisdiction for Peace (JEP) formally indicts six former FARC commanders for war crimes and crimes against humanity, including the forced recruitment of children. The JEP documents that the FARC recruited at least 18,677 children between 1971 and 2016 (González Cabrera).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M23 movement captures Goma, the capital of North Kivu province in the DRC, intensifying child recruitment in eastern Congo. Reports document M23 and other militias forcibly recruiting children as young as eight, with children reportedly making up at least 20% of trainees on the M23 campus (Philipp).</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Secretary-General’s annual report on Children and Armed Conflict reveals that 22,495 grave violations were verified against children in 2024, the highest number ever recorded since the monitoring mandate began. The report verifies 7,402 cases of child recruitment across 25 countries (Vinet, “22,495 Haunting Cries: Children Affected by Conflict  Endured an Unconscionable Number of Grave Violations in 2024 – </w:t>
              <w:tab/>
              <w:t xml:space="preserve">Office of the Special Representative of the Secretary-General for Children and Armed Conflict”).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UNICEF announces that child recruitment by armed groups in Haiti surged by an estimated 200% in 2025, with up to half of all armed group members in the country now being children (with some being as young as eight). The crisis unfolds despite Haiti not being a traditional armed conflict (UNICEF, “Child Recruitment in Haiti Surges Threefold in Just One Year – UNICEF”).</w:t>
            </w:r>
          </w:p>
        </w:tc>
      </w:tr>
    </w:tbl>
    <w:p w:rsidR="00000000" w:rsidDel="00000000" w:rsidP="00000000" w:rsidRDefault="00000000" w:rsidRPr="00000000" w14:paraId="0000004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4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played a crucial role in addressing the recruitment and exploitation of children by armed groups through international legal frameworks and global initiatives. One of the most important agreements is the Convention on the Rights of the Child (1989), which establishes that children must be protected from violence and exploitation. This agreement was imported by the Optional Protocol on the Involvement of Children in Armed Conflict (2000), which prohibits the recruitment of children under 18 and promotes their reintegration into society. </w:t>
      </w:r>
    </w:p>
    <w:p w:rsidR="00000000" w:rsidDel="00000000" w:rsidP="00000000" w:rsidRDefault="00000000" w:rsidRPr="00000000" w14:paraId="0000004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also supports prevention and rehabilitation efforts through organizations such as UNICEF, which provides education, psychological support, and reintegration programs for affected children. These initiatives focus on addressing root causes such as poverty and lack of education. </w:t>
      </w:r>
    </w:p>
    <w:p w:rsidR="00000000" w:rsidDel="00000000" w:rsidP="00000000" w:rsidRDefault="00000000" w:rsidRPr="00000000" w14:paraId="0000005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Additionally, the Security Council has taken action through Resolution 1612 (2005), which created a system that monitors violations against children in armed conflict. More recent reports, such as the UN Report on Children and Armed Conflict (S/2025/247), highlight the continued problem of recruitment and the need for stronger action. The UNODC also contributes by addressing the role of organized crime in child exploitation. </w:t>
      </w:r>
    </w:p>
    <w:p w:rsidR="00000000" w:rsidDel="00000000" w:rsidP="00000000" w:rsidRDefault="00000000" w:rsidRPr="00000000" w14:paraId="0000005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Overall, while the United Nations has made significant progress, continued international cooperation and stronger implementation are necessary to effectively protect children from recruitment and exploitation. </w:t>
      </w:r>
    </w:p>
    <w:p w:rsidR="00000000" w:rsidDel="00000000" w:rsidP="00000000" w:rsidRDefault="00000000" w:rsidRPr="00000000" w14:paraId="00000054">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5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Monitoring and Reporting Mechanism (MRM)</w:t>
      </w:r>
      <w:r w:rsidDel="00000000" w:rsidR="00000000" w:rsidRPr="00000000">
        <w:rPr>
          <w:rFonts w:ascii="Century Gothic" w:cs="Century Gothic" w:eastAsia="Century Gothic" w:hAnsi="Century Gothic"/>
          <w:rtl w:val="0"/>
        </w:rPr>
        <w:br w:type="textWrapping"/>
        <w:t xml:space="preserve">Since the establishment of the Monitoring and Reporting Mechanism through the Security Council resolution 1612 in 2005, the United Nations has pursued formal action plans with armed forces and groups listed in the Secretary-General’s annual report. An action plan is a written, signed document between the UN and a listed party that outlines concrete steps to end and prevent grave violations against children, with full implementation leading to delisting from the “list of shame” (Vinet, “Action Plans—Office of the Special Representative of the Secretary-General for Children and Armed Conflict"). The mechanism has produced documented successes: in 2017, the Armed Forces of the Democratic Republic of the Congo (FARDC) became only the second armed force in history to be delisted, following its 2012 action plan (allAfrica). Since the framework was established, governments and non-state groups in Myanmar (2012), Somalia (2012), Sudan (2016), Yemen (2014, with the Houthis joining in 2022), and most recently the Syrian National Army (June 2024) have all signed action plans with the United Nations. Overall, 38 action plans have been signed since the mandate began, and 12 parties have fully complied and have been delisted (Vinet, “Action Plans—Office of the Special Representative of the Secretary-General for Children and Armed Conflict"). According to OSRSG-CAAC, when engagement is sustained, violence decreases, and children are released, outcomes documented in 2023 in Iraq, Mozambique, the Philippines, South Sudan, Ukraine, and Yemen (Lignier).</w:t>
      </w:r>
    </w:p>
    <w:p w:rsidR="00000000" w:rsidDel="00000000" w:rsidP="00000000" w:rsidRDefault="00000000" w:rsidRPr="00000000" w14:paraId="0000005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Action Plans face serious limitations. They depend entirely on the cooperation of armed actors who often have political incentives to delay implementation, and many listed parties never sign at all. South Sudan recommitted to its 2012 Action Plan in 2014, but implementation has stalled repeatedly due to ongoing conflict (Vinet, ("Children, Not Soldiers—Office of the Special Representative of the Secretary-General for Children and Armed Conflict”). Yemen has signed multiple action plans, yet child recruitment has continued as the conflict has fractured into competing factions. More fundamentally, the Action Plan framework applies only to parties operating in armed conflict; criminal organizations recruiting children in Mexico, Haiti, and across Latin America fall outside its scope, meaning that the world’s most prominent legal mechanism for ending child recruitment cannot be applied to one of the largest sources of it today.</w:t>
        <w:br w:type="textWrapping"/>
        <w:br w:type="textWrapping"/>
      </w:r>
      <w:r w:rsidDel="00000000" w:rsidR="00000000" w:rsidRPr="00000000">
        <w:rPr>
          <w:rFonts w:ascii="Century Gothic" w:cs="Century Gothic" w:eastAsia="Century Gothic" w:hAnsi="Century Gothic"/>
          <w:b w:val="1"/>
          <w:bCs w:val="1"/>
          <w:rtl w:val="0"/>
        </w:rPr>
        <w:t xml:space="preserve">Reintegration and DDR Programs</w:t>
      </w:r>
      <w:r w:rsidDel="00000000" w:rsidR="00000000" w:rsidRPr="00000000">
        <w:rPr>
          <w:rFonts w:ascii="Century Gothic" w:cs="Century Gothic" w:eastAsia="Century Gothic" w:hAnsi="Century Gothic"/>
          <w:rtl w:val="0"/>
        </w:rPr>
        <w:br w:type="textWrapping"/>
        <w:t xml:space="preserve">Reintegration programs, typically delivered through Disarmament, Demobilization, and Reintegration (DDR) frameworks, are the most direct response to children released from armed groups. Programs run primarily by UNICEF and partner NGOs provide medical care, psychosocial support, education, vocational training, and family reunification at a cost of approximately $2,000 per child for a three-year program (UNICEF, “Critical Support for Former Child Soldiers in South Sudan at Risk from Lack of Funding”). In 2018, the Office of the Special Representative of the Secretary-General for Children in Armed Conflict and UNICEF jointly launched the Global Coalition for Reintegration to expand support for these efforts. Long-term tracking suggests that comprehensive programs work: in South Sudan, where UNICEF has supported the release and reintegration of more than 3,677 children since 2015, “the most children who completed the program have not been recruited to armed forces or groups” (UNICEF, “Critical Support for Former Child Soldiers in South Sudan at Risk from Lack of Funding”).</w:t>
        <w:br w:type="textWrapping"/>
        <w:br w:type="textWrapping"/>
        <w:t xml:space="preserve">The persistent failure, however, is funding. Of the more than 55,000 children released from armed forces and groups globally over 5 years, only 70%, roughly 42,000, received any reintegration support, leaving tens of thousands of formerly recruited children without the services they require to avoid re-recruitment (Vinet, “Global Coalition for Reintegration of Child Soldiers – </w:t>
        <w:tab/>
        <w:t xml:space="preserve">Office of the Special Representative of the Secretary-General for Children and Armed Conflict”). Funding for child reintegration fell from approximately US $22.1 million in 2012 to US $14.7 million in 2016, even as needs rose sharply (United Nations Children and Armed Conflict). In 2024, half of UNICEF’s thematic humanitarian funding was concentrated in only four emergencies: Afghanistan, Ethiopia, Syria, and Ukraine, leaving high-need areas like the DRC, Burkina Faso, Mali, and Somalia critically underfunded (Amani Africa). Without sustained financing, even released children frequently return to the armed groups they escaped, and the cycle of recruitment continues unbroken. </w:t>
        <w:br w:type="textWrapping"/>
        <w:br w:type="textWrapping"/>
      </w:r>
      <w:r w:rsidDel="00000000" w:rsidR="00000000" w:rsidRPr="00000000">
        <w:rPr>
          <w:rFonts w:ascii="Century Gothic" w:cs="Century Gothic" w:eastAsia="Century Gothic" w:hAnsi="Century Gothic"/>
          <w:b w:val="1"/>
          <w:bCs w:val="1"/>
          <w:rtl w:val="0"/>
        </w:rPr>
        <w:t xml:space="preserve">International Criminal Prosecutions</w:t>
      </w:r>
      <w:r w:rsidDel="00000000" w:rsidR="00000000" w:rsidRPr="00000000">
        <w:rPr>
          <w:rFonts w:ascii="Century Gothic" w:cs="Century Gothic" w:eastAsia="Century Gothic" w:hAnsi="Century Gothic"/>
          <w:rtl w:val="0"/>
        </w:rPr>
        <w:br w:type="textWrapping"/>
        <w:t xml:space="preserve">The use of international criminal law to prosecute the recruitment of children represents the most direct accountability mechanism currently available. The International Criminal Court’s first-ever conviction, delivered in 2012, was of Thomas Lubanga Dyilo for conscripting and enlisting children under the age of 15 in the Democratic Republic of the Congo, a verdict that established child recruitment as a war crime under the Rome Statute that could be prosecuted at the international level (International Criminal Court). The ICC has since pursued similar charges in cases involving Bosco Ntaganda, also for crimes in the DRC, and the practice has cascaded down to a national-level transitional justice system. In November 2024, Colombia’s Special Jurisdiction for Peace formally indicted six former FARC commanders for the forces' recruitment of at least 18,667 children between 1971 and 2016, marking the most significant national-level prosecution for child recruitment to date (González Cabrera).</w:t>
      </w:r>
    </w:p>
    <w:p w:rsidR="00000000" w:rsidDel="00000000" w:rsidP="00000000" w:rsidRDefault="00000000" w:rsidRPr="00000000" w14:paraId="0000005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Yet, international and national prosecutions face profound structural limitations; the ICC has secured very few convictions over its more than two decades of operation, prosecutions take many years to complete, and powerful state actors who recruit children, including some signatories to the Rome Statute, have largely evaded accountability. National prosecutions are limited because they tend to occur only in countries that have already gone through peace processes, while states still in conflict or with weak legal systems rarely enforce them. This creates a significant gap in accountability. The problem becomes even more pronounced in cases of organized crime, where existing legal frameworks are not well-suited. In Mexico, for example, cartel leaders who recruit children are usually prosecuted under domestic drug and organized crime laws, which do not specifically criminalize the recruitment of minors. As a Reuters investigation found, there is “a lack of clear criminal law banning the recruitment of minors into organized crime,” meaning that the act of recruiting a child may not even be treated as a separate offense. As a result, perpetrators can avoid full accountability, highlighting a major weakness in the current legal approach (Reuters).</w:t>
      </w:r>
      <w:r w:rsidDel="00000000" w:rsidR="00000000" w:rsidRPr="00000000">
        <w:rPr>
          <w:rtl w:val="0"/>
        </w:rPr>
      </w:r>
    </w:p>
    <w:p w:rsidR="00000000" w:rsidDel="00000000" w:rsidP="00000000" w:rsidRDefault="00000000" w:rsidRPr="00000000" w14:paraId="0000005B">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Addressing the recruitment and exploitation of children by armed groups and criminal organizations requires a combination of prevention, protection, and reintegration strategies. One key solution is investing in education and economic opportunities for vulnerable children. By improving access to schools, vocational training, and employment programs, governments can reduce the appeal of armed groups that often offer financial initiatives or a sense of belonging. Strengthening community-based programs that provide safe spaces and mentorship for at-risk youth can also help prevent recruitment (UNICEF).</w:t>
      </w:r>
      <w:r w:rsidDel="00000000" w:rsidR="00000000" w:rsidRPr="00000000">
        <w:rPr>
          <w:rFonts w:ascii="Century Gothic" w:cs="Century Gothic" w:eastAsia="Century Gothic" w:hAnsi="Century Gothic"/>
          <w:b w:val="1"/>
          <w:bCs w:val="1"/>
          <w:color w:val="0000ff"/>
          <w:rtl w:val="0"/>
        </w:rPr>
        <w:t xml:space="preserve"> </w:t>
      </w:r>
    </w:p>
    <w:p w:rsidR="00000000" w:rsidDel="00000000" w:rsidP="00000000" w:rsidRDefault="00000000" w:rsidRPr="00000000" w14:paraId="0000005E">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important approach is strengthening legal frameworks and law enforcement while ensuring the protection of children's rights. Governments should adopt and enforce international agreements such as the Convention on the Rights of the Child and its Optional Protocol, while avoiding policies that criminalize children involved in these groups. Instead, rehabilitation and reintegration programs should be prioritized, offering psychological support, education, and social services to help children transition into society. This approach is more effective in reducing long-term involvement in violence (United Nations). </w:t>
      </w:r>
    </w:p>
    <w:p w:rsidR="00000000" w:rsidDel="00000000" w:rsidP="00000000" w:rsidRDefault="00000000" w:rsidRPr="00000000" w14:paraId="0000006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Finally, increased international cooperation and data collection are essential to effectively combat this issue. Governments, international organizations, and local communities must work together to share information, monitor recruitment patterns, and develop targeted interventions. Improving data systems will help make policy-making more effective, particularly in regions where information is limited. Adding on, partnerships with organizations such as UNICEF and UNODC can strengthen prevention efforts and ensure that solutions are made to specifically meet the needs of affected communities (UNODC). </w:t>
      </w:r>
      <w:r w:rsidDel="00000000" w:rsidR="00000000" w:rsidRPr="00000000">
        <w:rPr>
          <w:rFonts w:ascii="Century Gothic" w:cs="Century Gothic" w:eastAsia="Century Gothic" w:hAnsi="Century Gothic"/>
          <w:b w:val="1"/>
          <w:bCs w:val="1"/>
          <w:color w:val="0000ff"/>
          <w:rtl w:val="0"/>
        </w:rPr>
        <w:br w:type="textWrapping"/>
      </w:r>
      <w:r w:rsidDel="00000000" w:rsidR="00000000" w:rsidRPr="00000000">
        <w:rPr>
          <w:rtl w:val="0"/>
        </w:rPr>
      </w:r>
    </w:p>
    <w:p w:rsidR="00000000" w:rsidDel="00000000" w:rsidP="00000000" w:rsidRDefault="00000000" w:rsidRPr="00000000" w14:paraId="0000006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Addressing the recruitment </w:t>
      </w:r>
    </w:p>
    <w:p w:rsidR="00000000" w:rsidDel="00000000" w:rsidP="00000000" w:rsidRDefault="00000000" w:rsidRPr="00000000" w14:paraId="0000006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Sustainable Development Goal (SDG)</w:t>
      </w:r>
      <w:r w:rsidDel="00000000" w:rsidR="00000000" w:rsidRPr="00000000">
        <w:rPr>
          <w:rtl w:val="0"/>
        </w:rPr>
      </w:r>
    </w:p>
    <w:p w:rsidR="00000000" w:rsidDel="00000000" w:rsidP="00000000" w:rsidRDefault="00000000" w:rsidRPr="00000000" w14:paraId="0000006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SDG 1, No Poverty</w:t>
        <w:br w:type="textWrapping"/>
      </w:r>
      <w:r w:rsidDel="00000000" w:rsidR="00000000" w:rsidRPr="00000000">
        <w:rPr>
          <w:rFonts w:ascii="Century Gothic" w:cs="Century Gothic" w:eastAsia="Century Gothic" w:hAnsi="Century Gothic"/>
          <w:rtl w:val="0"/>
        </w:rPr>
        <w:t xml:space="preserve">Sustainable Development Goal 1 aims to “end poverty in all its forms everywhere,” with target 1.1 calling for the eradication of extreme poverty and target 1.3 calling for the implementation of “nationally appropriate social protection systems and measures for all” with substantial coverage of the poor and vulnerable by 2030 (The Global Goals). Poverty is the most consistent driver of child recruitment by armed groups and criminal organizations across every affected region. In communities where families cannot meet basic needs and where social protection systems are weak or absent, children are offered money, food, or protection in exchange for joining these organized crime groups. In Haiti, where the country’s collapsing economic conditions have left more than half the population in deep poverty, gangs exploit this desperation to recruit children who see no other path to survival  (“Child Recruitment in Haiti Surges Threefold in Just One Year – UNICEF”). Similar dynamics drive recruitment in the Democratic Republic of the Congo, where 66% of the population lives on less than US $2.15 per day (UNICEF USA, “UNICEF USA”). Without addressing the structural poverty and the absence of social protection that make children vulnerable in the first place, prevention efforts will continue to treat symptoms rather than causes, and the cycle of recruitment will remain unbroken. </w:t>
        <w:br w:type="textWrapping"/>
        <w:br w:type="textWrapping"/>
      </w:r>
      <w:r w:rsidDel="00000000" w:rsidR="00000000" w:rsidRPr="00000000">
        <w:rPr>
          <w:rFonts w:ascii="Century Gothic" w:cs="Century Gothic" w:eastAsia="Century Gothic" w:hAnsi="Century Gothic"/>
          <w:b w:val="1"/>
          <w:bCs w:val="1"/>
          <w:rtl w:val="0"/>
        </w:rPr>
        <w:t xml:space="preserve">SDG 4, Quality Education</w:t>
        <w:br w:type="textWrapping"/>
      </w:r>
      <w:r w:rsidDel="00000000" w:rsidR="00000000" w:rsidRPr="00000000">
        <w:rPr>
          <w:rFonts w:ascii="Century Gothic" w:cs="Century Gothic" w:eastAsia="Century Gothic" w:hAnsi="Century Gothic"/>
          <w:rtl w:val="0"/>
        </w:rPr>
        <w:t xml:space="preserve">Sustainable Development Goal 4 aims to “ensure inclusive and equitable quality education and promote lifelong learning opportunities for all” (Martin). Education is simultaneously a protective factor against the recruitment of children and a deliberate target of armed groups and criminal organizations. Target 4. a, while calls on states to “build and upgrade education facilities that are child, disability, and gender sensitive and provide safe, non-violent, inclusive and effective learning environments for all,” is directly violated when armed groups attack and destroy schools to remove children from the protection they provide (Eustat). In 2024, the United Nations verified 2,374 incidents of attacks on schools and hospitals globally, among the highest figures since the monitoring mandate began (United Nations). The recruitment link is direct: in Haiti, UNICEF reports that the surge in child recruitment is “driven by widespread poverty, lack of education, and collapse of essential services,” and in Burkina Faso, at least a quarter of all schools were closed as of October 2023 due to armed groups’ “war against education." (UN News, “Haiti: Child Recruitment by Armed Groups Surges 70 per Cent”; Georgetown Journal of International Affairs). Target 4.5, eliminating disparities in access to education for children in vulnerable situations, including the conflict-affected, is essential to interrupting the pipeline that channels out-of-school children into armed groups (Martin). Without restoring access to safe, functional schools in the communities most under threat, children in conflict and crisis settings remain perpetually within recruiters’ reach. </w:t>
      </w:r>
    </w:p>
    <w:p w:rsidR="00000000" w:rsidDel="00000000" w:rsidP="00000000" w:rsidRDefault="00000000" w:rsidRPr="00000000" w14:paraId="0000006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SDG 16, Peace, Justice, and Strong Institutions</w:t>
        <w:br w:type="textWrapping"/>
      </w:r>
      <w:r w:rsidDel="00000000" w:rsidR="00000000" w:rsidRPr="00000000">
        <w:rPr>
          <w:rFonts w:ascii="Century Gothic" w:cs="Century Gothic" w:eastAsia="Century Gothic" w:hAnsi="Century Gothic"/>
          <w:rtl w:val="0"/>
        </w:rPr>
        <w:t xml:space="preserve">Sustainable Development Goal 16 aims to “promote peaceful and inclusive societies for sustainable development, provide access to justice for all, and build effective, accountable, and inclusive institutions at all levels” (Martin, “Goal 16: Peace, Justice, and Strong Institutions - United Nations Sustainable Development”). It is the most directly relevant SDG to this issue. Target 16.2: “End abuse, exploitation, trafficking, and all forms of violence against and torture of children" frames the recruitment and use of children by armed groups and criminal organizations as a top-tier global priority (Martin, “Goal 16: Peace, Justice, and Strong Institutions—United Nations Sustainable Development”). Yet institutional collapse and impunity remain the rule rather than the exception. In Haiti, armed gangs now control approximately 90% of Port-au-Prince, leaving the state without the territorial authority required to enforce child protection laws (Human Rights Watch, “World Report 2026: Rights Trends in Haiti”). In the Democratic Republic of the Congo, the M23 movement captured the city of Goma in early 2025 and continues to recruit children as young as eight, beyond the reach of national or international justice systems (Philipp). Target 16.3: “Promote the rule of law at the national and international levels and ensure equal access to justice for all” is undermined when children captured during cartel operations in Mexico are prosecuted as criminals rather than recognized as victims of trafficking and forced recruitment, contradicting the principle established in the UN Security Council. Resolution 2427 states that children associated with armed groups must be treated primarily as victims (Reuters). Combating child recruitment is, fundamentally, a question of whether the international community can build the strong institutions SDG 16 demands.</w:t>
      </w:r>
    </w:p>
    <w:p w:rsidR="00000000" w:rsidDel="00000000" w:rsidP="00000000" w:rsidRDefault="00000000" w:rsidRPr="00000000" w14:paraId="0000006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widowControl w:val="0"/>
        <w:spacing w:line="360" w:lineRule="auto"/>
        <w:jc w:val="both"/>
        <w:rPr>
          <w:rFonts w:ascii="Century Gothic" w:cs="Century Gothic" w:eastAsia="Century Gothic" w:hAnsi="Century Gothic"/>
          <w:color w:val="0000ff"/>
          <w:highlight w:val="white"/>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69">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A">
      <w:pPr>
        <w:widowControl w:val="0"/>
        <w:spacing w:line="360" w:lineRule="auto"/>
        <w:jc w:val="both"/>
        <w:rPr>
          <w:rFonts w:ascii="Century Gothic" w:cs="Century Gothic" w:eastAsia="Century Gothic" w:hAnsi="Century Gothic"/>
          <w:highlight w:val="white"/>
        </w:rPr>
      </w:pPr>
      <w:hyperlink r:id="rId8">
        <w:r w:rsidDel="00000000" w:rsidR="00000000" w:rsidRPr="00000000">
          <w:rPr>
            <w:rFonts w:ascii="Century Gothic" w:cs="Century Gothic" w:eastAsia="Century Gothic" w:hAnsi="Century Gothic"/>
            <w:color w:val="1155cc"/>
            <w:highlight w:val="white"/>
            <w:u w:val="single"/>
            <w:rtl w:val="0"/>
          </w:rPr>
          <w:t xml:space="preserve">https://childrenandarmedconflict.un.org/home/map-2020/?utm_source=chatgpt.com</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6B">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A</w:t>
      </w:r>
      <w:r w:rsidDel="00000000" w:rsidR="00000000" w:rsidRPr="00000000">
        <w:rPr>
          <w:rFonts w:ascii="Century Gothic" w:cs="Century Gothic" w:eastAsia="Century Gothic" w:hAnsi="Century Gothic"/>
          <w:highlight w:val="white"/>
          <w:rtl w:val="0"/>
        </w:rPr>
        <w:t xml:space="preserve">: This map shows where child recruitment occurs globally. It is useful for identifying key regions affected by the issue. </w:t>
      </w:r>
    </w:p>
    <w:p w:rsidR="00000000" w:rsidDel="00000000" w:rsidP="00000000" w:rsidRDefault="00000000" w:rsidRPr="00000000" w14:paraId="0000006C">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D">
      <w:pPr>
        <w:widowControl w:val="0"/>
        <w:spacing w:line="360" w:lineRule="auto"/>
        <w:jc w:val="both"/>
        <w:rPr>
          <w:rFonts w:ascii="Century Gothic" w:cs="Century Gothic" w:eastAsia="Century Gothic" w:hAnsi="Century Gothic"/>
          <w:highlight w:val="white"/>
        </w:rPr>
      </w:pPr>
      <w:hyperlink r:id="rId9">
        <w:r w:rsidDel="00000000" w:rsidR="00000000" w:rsidRPr="00000000">
          <w:rPr>
            <w:rFonts w:ascii="Century Gothic" w:cs="Century Gothic" w:eastAsia="Century Gothic" w:hAnsi="Century Gothic"/>
            <w:color w:val="1155cc"/>
            <w:highlight w:val="white"/>
            <w:u w:val="single"/>
            <w:rtl w:val="0"/>
          </w:rPr>
          <w:t xml:space="preserve">https://www.unicef.org/protection/children-recruited-by-armed-forces</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6E">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w:t>
      </w:r>
      <w:r w:rsidDel="00000000" w:rsidR="00000000" w:rsidRPr="00000000">
        <w:rPr>
          <w:rFonts w:ascii="Century Gothic" w:cs="Century Gothic" w:eastAsia="Century Gothic" w:hAnsi="Century Gothic"/>
          <w:highlight w:val="white"/>
          <w:rtl w:val="0"/>
        </w:rPr>
        <w:t xml:space="preserve"> This source provides statistics and explains how children are used in armed groups. It helps understand the scale and nature of the issue. </w:t>
      </w:r>
    </w:p>
    <w:p w:rsidR="00000000" w:rsidDel="00000000" w:rsidP="00000000" w:rsidRDefault="00000000" w:rsidRPr="00000000" w14:paraId="0000006F">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0">
      <w:pPr>
        <w:widowControl w:val="0"/>
        <w:spacing w:line="360" w:lineRule="auto"/>
        <w:jc w:val="both"/>
        <w:rPr>
          <w:rFonts w:ascii="Century Gothic" w:cs="Century Gothic" w:eastAsia="Century Gothic" w:hAnsi="Century Gothic"/>
          <w:highlight w:val="white"/>
        </w:rPr>
      </w:pPr>
      <w:hyperlink r:id="rId10">
        <w:r w:rsidDel="00000000" w:rsidR="00000000" w:rsidRPr="00000000">
          <w:rPr>
            <w:rFonts w:ascii="Century Gothic" w:cs="Century Gothic" w:eastAsia="Century Gothic" w:hAnsi="Century Gothic"/>
            <w:color w:val="1155cc"/>
            <w:highlight w:val="white"/>
            <w:u w:val="single"/>
            <w:rtl w:val="0"/>
          </w:rPr>
          <w:t xml:space="preserve">https://www.unicef.org/iraq/press-releases/not-new-normal-2024-one-worst-years-unicefs-history-children-conflict</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71">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w:t>
      </w:r>
      <w:r w:rsidDel="00000000" w:rsidR="00000000" w:rsidRPr="00000000">
        <w:rPr>
          <w:rFonts w:ascii="Century Gothic" w:cs="Century Gothic" w:eastAsia="Century Gothic" w:hAnsi="Century Gothic"/>
          <w:highlight w:val="white"/>
          <w:rtl w:val="0"/>
        </w:rPr>
        <w:t xml:space="preserve"> This report shows how many children live in conflict zones. It provides useful information for understanding vulnerability to recruitment. </w:t>
      </w:r>
    </w:p>
    <w:p w:rsidR="00000000" w:rsidDel="00000000" w:rsidP="00000000" w:rsidRDefault="00000000" w:rsidRPr="00000000" w14:paraId="00000072">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3">
      <w:pPr>
        <w:widowControl w:val="0"/>
        <w:spacing w:line="360" w:lineRule="auto"/>
        <w:jc w:val="both"/>
        <w:rPr>
          <w:rFonts w:ascii="Century Gothic" w:cs="Century Gothic" w:eastAsia="Century Gothic" w:hAnsi="Century Gothic"/>
          <w:highlight w:val="white"/>
        </w:rPr>
      </w:pPr>
      <w:hyperlink r:id="rId11">
        <w:r w:rsidDel="00000000" w:rsidR="00000000" w:rsidRPr="00000000">
          <w:rPr>
            <w:rFonts w:ascii="Century Gothic" w:cs="Century Gothic" w:eastAsia="Century Gothic" w:hAnsi="Century Gothic"/>
            <w:color w:val="1155cc"/>
            <w:highlight w:val="white"/>
            <w:u w:val="single"/>
            <w:rtl w:val="0"/>
          </w:rPr>
          <w:t xml:space="preserve">https://docs.un.org/en/S/2025/247</w:t>
        </w:r>
      </w:hyperlink>
      <w:r w:rsidDel="00000000" w:rsidR="00000000" w:rsidRPr="00000000">
        <w:rPr>
          <w:rtl w:val="0"/>
        </w:rPr>
      </w:r>
    </w:p>
    <w:p w:rsidR="00000000" w:rsidDel="00000000" w:rsidP="00000000" w:rsidRDefault="00000000" w:rsidRPr="00000000" w14:paraId="00000074">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D:</w:t>
      </w:r>
      <w:r w:rsidDel="00000000" w:rsidR="00000000" w:rsidRPr="00000000">
        <w:rPr>
          <w:rFonts w:ascii="Century Gothic" w:cs="Century Gothic" w:eastAsia="Century Gothic" w:hAnsi="Century Gothic"/>
          <w:highlight w:val="white"/>
          <w:rtl w:val="0"/>
        </w:rPr>
        <w:t xml:space="preserve"> This UN report provides data on child recruitment and other violations in conflict. It is useful for understanding the scale and urgency of the issue. </w:t>
        <w:br w:type="textWrapping"/>
      </w:r>
    </w:p>
    <w:p w:rsidR="00000000" w:rsidDel="00000000" w:rsidP="00000000" w:rsidRDefault="00000000" w:rsidRPr="00000000" w14:paraId="00000075">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rtl w:val="0"/>
        </w:rPr>
        <w:t xml:space="preserve">Bibliography</w:t>
      </w:r>
      <w:r w:rsidDel="00000000" w:rsidR="00000000" w:rsidRPr="00000000">
        <w:rPr>
          <w:rtl w:val="0"/>
        </w:rPr>
      </w:r>
    </w:p>
    <w:p w:rsidR="00000000" w:rsidDel="00000000" w:rsidP="00000000" w:rsidRDefault="00000000" w:rsidRPr="00000000" w14:paraId="00000076">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7">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Accord. “Understanding the Recruitment of Child Soldiers in Africa – ACCORD.” </w:t>
      </w:r>
      <w:r w:rsidDel="00000000" w:rsidR="00000000" w:rsidRPr="00000000">
        <w:rPr>
          <w:rFonts w:ascii="Century Gothic" w:cs="Century Gothic" w:eastAsia="Century Gothic" w:hAnsi="Century Gothic"/>
          <w:i w:val="1"/>
          <w:iCs w:val="1"/>
          <w:rtl w:val="0"/>
        </w:rPr>
        <w:t xml:space="preserve">ACCORD</w:t>
      </w:r>
      <w:r w:rsidDel="00000000" w:rsidR="00000000" w:rsidRPr="00000000">
        <w:rPr>
          <w:rFonts w:ascii="Century Gothic" w:cs="Century Gothic" w:eastAsia="Century Gothic" w:hAnsi="Century Gothic"/>
          <w:rtl w:val="0"/>
        </w:rPr>
        <w:t xml:space="preserve">, 16 Aug. 2016, www.accord.org.za/conflict-trends/understanding-recruitment-child-soldiers-africa/. Accessed 14 May 2026.</w:t>
      </w:r>
    </w:p>
    <w:p w:rsidR="00000000" w:rsidDel="00000000" w:rsidP="00000000" w:rsidRDefault="00000000" w:rsidRPr="00000000" w14:paraId="0000007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ADF. “Lake Chad Terror Groups Coercing Children to Join.” </w:t>
      </w:r>
      <w:r w:rsidDel="00000000" w:rsidR="00000000" w:rsidRPr="00000000">
        <w:rPr>
          <w:rFonts w:ascii="Century Gothic" w:cs="Century Gothic" w:eastAsia="Century Gothic" w:hAnsi="Century Gothic"/>
          <w:i w:val="1"/>
          <w:iCs w:val="1"/>
          <w:highlight w:val="white"/>
          <w:rtl w:val="0"/>
        </w:rPr>
        <w:t xml:space="preserve">Africa Defense Forum</w:t>
      </w:r>
      <w:r w:rsidDel="00000000" w:rsidR="00000000" w:rsidRPr="00000000">
        <w:rPr>
          <w:rFonts w:ascii="Century Gothic" w:cs="Century Gothic" w:eastAsia="Century Gothic" w:hAnsi="Century Gothic"/>
          <w:highlight w:val="white"/>
          <w:rtl w:val="0"/>
        </w:rPr>
        <w:t xml:space="preserve">, 17 Jan. 2023, adf-magazine.com/2023/01/lake-chad-terror-groups-coercing-children-to-join/. Accessed 18 Apr. 2026.</w:t>
      </w:r>
    </w:p>
    <w:p w:rsidR="00000000" w:rsidDel="00000000" w:rsidP="00000000" w:rsidRDefault="00000000" w:rsidRPr="00000000" w14:paraId="0000007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allAfrica. “Emerging from a Legacy of Violence: U.N. Delists the DRC for the Recruitment of Child Soldiers.” </w:t>
      </w:r>
      <w:r w:rsidDel="00000000" w:rsidR="00000000" w:rsidRPr="00000000">
        <w:rPr>
          <w:rFonts w:ascii="Century Gothic" w:cs="Century Gothic" w:eastAsia="Century Gothic" w:hAnsi="Century Gothic"/>
          <w:i w:val="1"/>
          <w:iCs w:val="1"/>
          <w:highlight w:val="white"/>
          <w:rtl w:val="0"/>
        </w:rPr>
        <w:t xml:space="preserve">AllAfrica.com</w:t>
      </w:r>
      <w:r w:rsidDel="00000000" w:rsidR="00000000" w:rsidRPr="00000000">
        <w:rPr>
          <w:rFonts w:ascii="Century Gothic" w:cs="Century Gothic" w:eastAsia="Century Gothic" w:hAnsi="Century Gothic"/>
          <w:highlight w:val="white"/>
          <w:rtl w:val="0"/>
        </w:rPr>
        <w:t xml:space="preserve">, 3 Nov. 2017, allafrica.com/stories/201711030932.html. Accessed 19 Apr. 2026.</w:t>
      </w:r>
    </w:p>
    <w:p w:rsidR="00000000" w:rsidDel="00000000" w:rsidP="00000000" w:rsidRDefault="00000000" w:rsidRPr="00000000" w14:paraId="0000007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Amani Africa. “Rehabilitation and Reintegration of Children Formerly Associated with Armed Conflicts - Amani Africa.” </w:t>
      </w:r>
      <w:r w:rsidDel="00000000" w:rsidR="00000000" w:rsidRPr="00000000">
        <w:rPr>
          <w:rFonts w:ascii="Century Gothic" w:cs="Century Gothic" w:eastAsia="Century Gothic" w:hAnsi="Century Gothic"/>
          <w:i w:val="1"/>
          <w:iCs w:val="1"/>
          <w:highlight w:val="white"/>
          <w:rtl w:val="0"/>
        </w:rPr>
        <w:t xml:space="preserve">Amani Africa</w:t>
      </w:r>
      <w:r w:rsidDel="00000000" w:rsidR="00000000" w:rsidRPr="00000000">
        <w:rPr>
          <w:rFonts w:ascii="Century Gothic" w:cs="Century Gothic" w:eastAsia="Century Gothic" w:hAnsi="Century Gothic"/>
          <w:highlight w:val="white"/>
          <w:rtl w:val="0"/>
        </w:rPr>
        <w:t xml:space="preserve">, 21 July 2025, amaniafrica-et.org/rehabilitation-and-reintegration-of-children-formerly-associated-with-armed-conflicts/. Accessed 26 Apr. 2026.</w:t>
      </w:r>
    </w:p>
    <w:p w:rsidR="00000000" w:rsidDel="00000000" w:rsidP="00000000" w:rsidRDefault="00000000" w:rsidRPr="00000000" w14:paraId="0000007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Children. “Children and Armed Conflict.” </w:t>
      </w:r>
      <w:r w:rsidDel="00000000" w:rsidR="00000000" w:rsidRPr="00000000">
        <w:rPr>
          <w:rFonts w:ascii="Century Gothic" w:cs="Century Gothic" w:eastAsia="Century Gothic" w:hAnsi="Century Gothic"/>
          <w:i w:val="1"/>
          <w:iCs w:val="1"/>
          <w:highlight w:val="white"/>
          <w:rtl w:val="0"/>
        </w:rPr>
        <w:t xml:space="preserve">Security Council Report</w:t>
      </w:r>
      <w:r w:rsidDel="00000000" w:rsidR="00000000" w:rsidRPr="00000000">
        <w:rPr>
          <w:rFonts w:ascii="Century Gothic" w:cs="Century Gothic" w:eastAsia="Century Gothic" w:hAnsi="Century Gothic"/>
          <w:highlight w:val="white"/>
          <w:rtl w:val="0"/>
        </w:rPr>
        <w:t xml:space="preserve">, 2025, www.securitycouncilreport.org/monthly-forecast/2025-06/children-and-armed-conflict-11.php. Accessed 9 May 2026.</w:t>
      </w:r>
    </w:p>
    <w:p w:rsidR="00000000" w:rsidDel="00000000" w:rsidP="00000000" w:rsidRDefault="00000000" w:rsidRPr="00000000" w14:paraId="0000007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Canada, Global Affairs. “The Vancouver Principles.” </w:t>
      </w:r>
      <w:r w:rsidDel="00000000" w:rsidR="00000000" w:rsidRPr="00000000">
        <w:rPr>
          <w:rFonts w:ascii="Century Gothic" w:cs="Century Gothic" w:eastAsia="Century Gothic" w:hAnsi="Century Gothic"/>
          <w:i w:val="1"/>
          <w:iCs w:val="1"/>
          <w:highlight w:val="white"/>
          <w:rtl w:val="0"/>
        </w:rPr>
        <w:t xml:space="preserve">GAC</w:t>
      </w:r>
      <w:r w:rsidDel="00000000" w:rsidR="00000000" w:rsidRPr="00000000">
        <w:rPr>
          <w:rFonts w:ascii="Century Gothic" w:cs="Century Gothic" w:eastAsia="Century Gothic" w:hAnsi="Century Gothic"/>
          <w:highlight w:val="white"/>
          <w:rtl w:val="0"/>
        </w:rPr>
        <w:t xml:space="preserve">, 2017, www.international.gc.ca/world-monde/issues_development-enjeux_developpement/human_rights-droits_homme/principles-vancouver-principes.aspx?lang=eng. Accessed 26 Apr. 2026.</w:t>
      </w:r>
    </w:p>
    <w:p w:rsidR="00000000" w:rsidDel="00000000" w:rsidP="00000000" w:rsidRDefault="00000000" w:rsidRPr="00000000" w14:paraId="0000007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European Commission, and Directorate-General for European Civil Protection and Humanitarian Aid Operations. “Myanmar/Burma.” </w:t>
      </w:r>
      <w:r w:rsidDel="00000000" w:rsidR="00000000" w:rsidRPr="00000000">
        <w:rPr>
          <w:rFonts w:ascii="Century Gothic" w:cs="Century Gothic" w:eastAsia="Century Gothic" w:hAnsi="Century Gothic"/>
          <w:i w:val="1"/>
          <w:iCs w:val="1"/>
          <w:highlight w:val="white"/>
          <w:rtl w:val="0"/>
        </w:rPr>
        <w:t xml:space="preserve">European Civil Protection and Humanitarian Aid Operations</w:t>
      </w:r>
      <w:r w:rsidDel="00000000" w:rsidR="00000000" w:rsidRPr="00000000">
        <w:rPr>
          <w:rFonts w:ascii="Century Gothic" w:cs="Century Gothic" w:eastAsia="Century Gothic" w:hAnsi="Century Gothic"/>
          <w:highlight w:val="white"/>
          <w:rtl w:val="0"/>
        </w:rPr>
        <w:t xml:space="preserve">, 30 Mar. 2026, civil-protection-humanitarian-aid.ec.europa.eu/where/asia-and-pacific/myanmarburma_en#:~:text=Mass%20displacement%20continues%20at%20an,been%20displaced%20since%20February%202021. Accessed 18 Apr. 2026.</w:t>
      </w:r>
    </w:p>
    <w:p w:rsidR="00000000" w:rsidDel="00000000" w:rsidP="00000000" w:rsidRDefault="00000000" w:rsidRPr="00000000" w14:paraId="0000007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Eustat. “Goal 4 - Quality Education - Indicators for the Sustainable Development Goals.” </w:t>
      </w:r>
      <w:r w:rsidDel="00000000" w:rsidR="00000000" w:rsidRPr="00000000">
        <w:rPr>
          <w:rFonts w:ascii="Century Gothic" w:cs="Century Gothic" w:eastAsia="Century Gothic" w:hAnsi="Century Gothic"/>
          <w:i w:val="1"/>
          <w:iCs w:val="1"/>
          <w:highlight w:val="white"/>
          <w:rtl w:val="0"/>
        </w:rPr>
        <w:t xml:space="preserve">Eustat.eus</w:t>
      </w:r>
      <w:r w:rsidDel="00000000" w:rsidR="00000000" w:rsidRPr="00000000">
        <w:rPr>
          <w:rFonts w:ascii="Century Gothic" w:cs="Century Gothic" w:eastAsia="Century Gothic" w:hAnsi="Century Gothic"/>
          <w:highlight w:val="white"/>
          <w:rtl w:val="0"/>
        </w:rPr>
        <w:t xml:space="preserve">, 2020, sdg.eustat.eus/en/4/. Accessed 3 May 2026.</w:t>
      </w:r>
    </w:p>
    <w:p w:rsidR="00000000" w:rsidDel="00000000" w:rsidP="00000000" w:rsidRDefault="00000000" w:rsidRPr="00000000" w14:paraId="0000007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Fox, Edward. “Why Children Are Low-Risk Labor for Latin America’s Drug Gangs.” </w:t>
      </w:r>
      <w:r w:rsidDel="00000000" w:rsidR="00000000" w:rsidRPr="00000000">
        <w:rPr>
          <w:rFonts w:ascii="Century Gothic" w:cs="Century Gothic" w:eastAsia="Century Gothic" w:hAnsi="Century Gothic"/>
          <w:i w:val="1"/>
          <w:iCs w:val="1"/>
          <w:highlight w:val="white"/>
          <w:rtl w:val="0"/>
        </w:rPr>
        <w:t xml:space="preserve">InSight Crime</w:t>
      </w:r>
      <w:r w:rsidDel="00000000" w:rsidR="00000000" w:rsidRPr="00000000">
        <w:rPr>
          <w:rFonts w:ascii="Century Gothic" w:cs="Century Gothic" w:eastAsia="Century Gothic" w:hAnsi="Century Gothic"/>
          <w:highlight w:val="white"/>
          <w:rtl w:val="0"/>
        </w:rPr>
        <w:t xml:space="preserve">, 15 May 2012, insightcrime.org/news/analysis/why-children-are-low-risk-labor-for-latin-americas-drug-gangs/. Accessed 18 Apr. 2026.</w:t>
      </w:r>
    </w:p>
    <w:p w:rsidR="00000000" w:rsidDel="00000000" w:rsidP="00000000" w:rsidRDefault="00000000" w:rsidRPr="00000000" w14:paraId="0000008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Georgetown Journal of International Affairs. “Why Child Soldiering Persists in Africa | GJIA.” </w:t>
      </w:r>
      <w:r w:rsidDel="00000000" w:rsidR="00000000" w:rsidRPr="00000000">
        <w:rPr>
          <w:rFonts w:ascii="Century Gothic" w:cs="Century Gothic" w:eastAsia="Century Gothic" w:hAnsi="Century Gothic"/>
          <w:i w:val="1"/>
          <w:iCs w:val="1"/>
          <w:highlight w:val="white"/>
          <w:rtl w:val="0"/>
        </w:rPr>
        <w:t xml:space="preserve">Georgetown Journal of International Affairs</w:t>
      </w:r>
      <w:r w:rsidDel="00000000" w:rsidR="00000000" w:rsidRPr="00000000">
        <w:rPr>
          <w:rFonts w:ascii="Century Gothic" w:cs="Century Gothic" w:eastAsia="Century Gothic" w:hAnsi="Century Gothic"/>
          <w:highlight w:val="white"/>
          <w:rtl w:val="0"/>
        </w:rPr>
        <w:t xml:space="preserve">, edited by Christopher M. Faulkner, 25 Feb. 2024, gjia.georgetown.edu/human-rights-development/why-child-soldiering-persists-in-africa/. Accessed 3 May 2026.</w:t>
      </w:r>
    </w:p>
    <w:p w:rsidR="00000000" w:rsidDel="00000000" w:rsidP="00000000" w:rsidRDefault="00000000" w:rsidRPr="00000000" w14:paraId="0000008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GICJ. “The War Crime of Child Soldier Recruitment in Yemen.” </w:t>
      </w:r>
      <w:r w:rsidDel="00000000" w:rsidR="00000000" w:rsidRPr="00000000">
        <w:rPr>
          <w:rFonts w:ascii="Century Gothic" w:cs="Century Gothic" w:eastAsia="Century Gothic" w:hAnsi="Century Gothic"/>
          <w:i w:val="1"/>
          <w:iCs w:val="1"/>
          <w:highlight w:val="white"/>
          <w:rtl w:val="0"/>
        </w:rPr>
        <w:t xml:space="preserve">Gicj.org</w:t>
      </w:r>
      <w:r w:rsidDel="00000000" w:rsidR="00000000" w:rsidRPr="00000000">
        <w:rPr>
          <w:rFonts w:ascii="Century Gothic" w:cs="Century Gothic" w:eastAsia="Century Gothic" w:hAnsi="Century Gothic"/>
          <w:highlight w:val="white"/>
          <w:rtl w:val="0"/>
        </w:rPr>
        <w:t xml:space="preserve">, 20 Aug. 2025, www.gicj.org/topics/countries/yemen/4164-the-war-crime-of-child-soldier-recruitment-in-yemen. Accessed 9 May 2026.</w:t>
      </w:r>
    </w:p>
    <w:p w:rsidR="00000000" w:rsidDel="00000000" w:rsidP="00000000" w:rsidRDefault="00000000" w:rsidRPr="00000000" w14:paraId="0000008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González Cabrera, Cristian. “Colombia Charges Former FARC Leaders with Child Recruitment.”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20 Nov. 2024, www.hrw.org/news/2024/11/20/colombia-charges-former-farc-leaders-child-recruitment. Accessed 19 Apr. 2026.</w:t>
      </w:r>
    </w:p>
    <w:p w:rsidR="00000000" w:rsidDel="00000000" w:rsidP="00000000" w:rsidRDefault="00000000" w:rsidRPr="00000000" w14:paraId="0000008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Haiti Protection Cluster, et al. </w:t>
      </w:r>
      <w:r w:rsidDel="00000000" w:rsidR="00000000" w:rsidRPr="00000000">
        <w:rPr>
          <w:rFonts w:ascii="Century Gothic" w:cs="Century Gothic" w:eastAsia="Century Gothic" w:hAnsi="Century Gothic"/>
          <w:i w:val="1"/>
          <w:iCs w:val="1"/>
          <w:highlight w:val="white"/>
          <w:rtl w:val="0"/>
        </w:rPr>
        <w:t xml:space="preserve">HAITI Protection Analysis Update</w:t>
      </w:r>
      <w:r w:rsidDel="00000000" w:rsidR="00000000" w:rsidRPr="00000000">
        <w:rPr>
          <w:rFonts w:ascii="Century Gothic" w:cs="Century Gothic" w:eastAsia="Century Gothic" w:hAnsi="Century Gothic"/>
          <w:highlight w:val="white"/>
          <w:rtl w:val="0"/>
        </w:rPr>
        <w:t xml:space="preserve">. 2025, globalprotectioncluster.org/sites/default/files/2025-09/pau25_20_protection_analysis_update_haiti_sept2025_final.pdf.</w:t>
      </w:r>
    </w:p>
    <w:p w:rsidR="00000000" w:rsidDel="00000000" w:rsidP="00000000" w:rsidRDefault="00000000" w:rsidRPr="00000000" w14:paraId="0000008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Human Rights Watch. “Myanmar: Stop Recruitment, Use of Child Soldiers.”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20 June 2025, www.hrw.org/news/2025/06/20/myanmar-stop-recruitment-use-of-child-soldiers. Accessed 18 Apr. 2026.</w:t>
      </w:r>
    </w:p>
    <w:p w:rsidR="00000000" w:rsidDel="00000000" w:rsidP="00000000" w:rsidRDefault="00000000" w:rsidRPr="00000000" w14:paraId="0000008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“World Report 2026: Rights Trends in Haiti.”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12 Jan. 2026, www.hrw.org/world-report/2026/country-chapters/haiti. Accessed 3 May 2026.</w:t>
      </w:r>
    </w:p>
    <w:p w:rsidR="00000000" w:rsidDel="00000000" w:rsidP="00000000" w:rsidRDefault="00000000" w:rsidRPr="00000000" w14:paraId="0000008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“Yemen: Houthis Recruit More Child Soldiers since October 7.”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13 Feb. 2024, www.hrw.org/news/2024/02/13/yemen-houthis-recruit-more-child-soldiers-october-7. Accessed 9 May 2026.</w:t>
      </w:r>
    </w:p>
    <w:p w:rsidR="00000000" w:rsidDel="00000000" w:rsidP="00000000" w:rsidRDefault="00000000" w:rsidRPr="00000000" w14:paraId="0000008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Criminal Court. “Lubanga Case.” </w:t>
      </w:r>
      <w:r w:rsidDel="00000000" w:rsidR="00000000" w:rsidRPr="00000000">
        <w:rPr>
          <w:rFonts w:ascii="Century Gothic" w:cs="Century Gothic" w:eastAsia="Century Gothic" w:hAnsi="Century Gothic"/>
          <w:i w:val="1"/>
          <w:iCs w:val="1"/>
          <w:highlight w:val="white"/>
          <w:rtl w:val="0"/>
        </w:rPr>
        <w:t xml:space="preserve">Icc-Cpi.int</w:t>
      </w:r>
      <w:r w:rsidDel="00000000" w:rsidR="00000000" w:rsidRPr="00000000">
        <w:rPr>
          <w:rFonts w:ascii="Century Gothic" w:cs="Century Gothic" w:eastAsia="Century Gothic" w:hAnsi="Century Gothic"/>
          <w:highlight w:val="white"/>
          <w:rtl w:val="0"/>
        </w:rPr>
        <w:t xml:space="preserve">, 2019, www.icc-cpi.int/drc/lubanga.</w:t>
      </w:r>
    </w:p>
    <w:p w:rsidR="00000000" w:rsidDel="00000000" w:rsidP="00000000" w:rsidRDefault="00000000" w:rsidRPr="00000000" w14:paraId="0000008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Crisis Group. “Kids on the Front Lines: Stopping Child Recruitment in Colombia | International Crisis Group.” </w:t>
      </w:r>
      <w:r w:rsidDel="00000000" w:rsidR="00000000" w:rsidRPr="00000000">
        <w:rPr>
          <w:rFonts w:ascii="Century Gothic" w:cs="Century Gothic" w:eastAsia="Century Gothic" w:hAnsi="Century Gothic"/>
          <w:i w:val="1"/>
          <w:iCs w:val="1"/>
          <w:highlight w:val="white"/>
          <w:rtl w:val="0"/>
        </w:rPr>
        <w:t xml:space="preserve">Crisisgroup.org</w:t>
      </w:r>
      <w:r w:rsidDel="00000000" w:rsidR="00000000" w:rsidRPr="00000000">
        <w:rPr>
          <w:rFonts w:ascii="Century Gothic" w:cs="Century Gothic" w:eastAsia="Century Gothic" w:hAnsi="Century Gothic"/>
          <w:highlight w:val="white"/>
          <w:rtl w:val="0"/>
        </w:rPr>
        <w:t xml:space="preserve">, 12 Feb. 2026, www.crisisgroup.org/brf/latin-america-caribbean/colombia/b55-kids-front-lines-stopping-child-recruitment-colombia. Accessed 19 Apr. 2026.</w:t>
      </w:r>
    </w:p>
    <w:p w:rsidR="00000000" w:rsidDel="00000000" w:rsidP="00000000" w:rsidRDefault="00000000" w:rsidRPr="00000000" w14:paraId="0000008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Labour Organization. “Unemployment, Informality and Inactivity Plague Youth in Latin America and the Caribbean.” </w:t>
      </w:r>
      <w:r w:rsidDel="00000000" w:rsidR="00000000" w:rsidRPr="00000000">
        <w:rPr>
          <w:rFonts w:ascii="Century Gothic" w:cs="Century Gothic" w:eastAsia="Century Gothic" w:hAnsi="Century Gothic"/>
          <w:i w:val="1"/>
          <w:iCs w:val="1"/>
          <w:highlight w:val="white"/>
          <w:rtl w:val="0"/>
        </w:rPr>
        <w:t xml:space="preserve">International Labour Organization</w:t>
      </w:r>
      <w:r w:rsidDel="00000000" w:rsidR="00000000" w:rsidRPr="00000000">
        <w:rPr>
          <w:rFonts w:ascii="Century Gothic" w:cs="Century Gothic" w:eastAsia="Century Gothic" w:hAnsi="Century Gothic"/>
          <w:highlight w:val="white"/>
          <w:rtl w:val="0"/>
        </w:rPr>
        <w:t xml:space="preserve">, 16 Mar. 2020, www.ilo.org/resource/news/unemployment-informality-and-inactivity-plague-youth-latin-america-and. Accessed 18 Apr. 2026.</w:t>
      </w:r>
    </w:p>
    <w:p w:rsidR="00000000" w:rsidDel="00000000" w:rsidP="00000000" w:rsidRDefault="00000000" w:rsidRPr="00000000" w14:paraId="0000008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ISS Africa. “Stemming Child Soldier Recruitment in Lake Chad Basin Region | PSC Report.” </w:t>
      </w:r>
      <w:r w:rsidDel="00000000" w:rsidR="00000000" w:rsidRPr="00000000">
        <w:rPr>
          <w:rFonts w:ascii="Century Gothic" w:cs="Century Gothic" w:eastAsia="Century Gothic" w:hAnsi="Century Gothic"/>
          <w:i w:val="1"/>
          <w:iCs w:val="1"/>
          <w:highlight w:val="white"/>
          <w:rtl w:val="0"/>
        </w:rPr>
        <w:t xml:space="preserve">ISS Africa</w:t>
      </w:r>
      <w:r w:rsidDel="00000000" w:rsidR="00000000" w:rsidRPr="00000000">
        <w:rPr>
          <w:rFonts w:ascii="Century Gothic" w:cs="Century Gothic" w:eastAsia="Century Gothic" w:hAnsi="Century Gothic"/>
          <w:highlight w:val="white"/>
          <w:rtl w:val="0"/>
        </w:rPr>
        <w:t xml:space="preserve">, edited by PSC Report, 6 Sept. 2023, issafrica.org/pscreport/psc-insights/stemming-child-soldier-recruitment-in-lake-chad-basin-region. Accessed 18 Apr. 2026.</w:t>
      </w:r>
    </w:p>
    <w:p w:rsidR="00000000" w:rsidDel="00000000" w:rsidP="00000000" w:rsidRDefault="00000000" w:rsidRPr="00000000" w14:paraId="0000008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Kiss, Ligia, et al. “Latin American Young NEETs: Brazil as a Case Study for Systemic Risks of Youth Social Exclusion.” </w:t>
      </w:r>
      <w:r w:rsidDel="00000000" w:rsidR="00000000" w:rsidRPr="00000000">
        <w:rPr>
          <w:rFonts w:ascii="Century Gothic" w:cs="Century Gothic" w:eastAsia="Century Gothic" w:hAnsi="Century Gothic"/>
          <w:i w:val="1"/>
          <w:iCs w:val="1"/>
          <w:highlight w:val="white"/>
          <w:rtl w:val="0"/>
        </w:rPr>
        <w:t xml:space="preserve">Journal of Youth Studies</w:t>
      </w:r>
      <w:r w:rsidDel="00000000" w:rsidR="00000000" w:rsidRPr="00000000">
        <w:rPr>
          <w:rFonts w:ascii="Century Gothic" w:cs="Century Gothic" w:eastAsia="Century Gothic" w:hAnsi="Century Gothic"/>
          <w:highlight w:val="white"/>
          <w:rtl w:val="0"/>
        </w:rPr>
        <w:t xml:space="preserve">, vol. 25, no. 10, Oct. 2021, pp. 1–25, https://doi.org/10.1080/13676261.2021.1965107.</w:t>
      </w:r>
    </w:p>
    <w:p w:rsidR="00000000" w:rsidDel="00000000" w:rsidP="00000000" w:rsidRDefault="00000000" w:rsidRPr="00000000" w14:paraId="0000008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Lignier, Ariane. “2023: Alarming Levels of Violence Inflicted on Children in Situations of Armed Conflict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2023, childrenandarmedconflict.un.org/2024/06/2023-alarming-levels-of-violence-inflicted-on-children-in-situation-of-armed-conflict/. Accessed 26 Apr. 2026.</w:t>
      </w:r>
    </w:p>
    <w:p w:rsidR="00000000" w:rsidDel="00000000" w:rsidP="00000000" w:rsidRDefault="00000000" w:rsidRPr="00000000" w14:paraId="0000008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Martin. “Goal 4: Education - United Nations Sustainable Development.” </w:t>
      </w:r>
      <w:r w:rsidDel="00000000" w:rsidR="00000000" w:rsidRPr="00000000">
        <w:rPr>
          <w:rFonts w:ascii="Century Gothic" w:cs="Century Gothic" w:eastAsia="Century Gothic" w:hAnsi="Century Gothic"/>
          <w:i w:val="1"/>
          <w:iCs w:val="1"/>
          <w:highlight w:val="white"/>
          <w:rtl w:val="0"/>
        </w:rPr>
        <w:t xml:space="preserve">United Nations Sustainable Development</w:t>
      </w:r>
      <w:r w:rsidDel="00000000" w:rsidR="00000000" w:rsidRPr="00000000">
        <w:rPr>
          <w:rFonts w:ascii="Century Gothic" w:cs="Century Gothic" w:eastAsia="Century Gothic" w:hAnsi="Century Gothic"/>
          <w:highlight w:val="white"/>
          <w:rtl w:val="0"/>
        </w:rPr>
        <w:t xml:space="preserve">, 10 Sept. 2025, www.un.org/sustainabledevelopment/education/. Accessed 3 May 2026.</w:t>
      </w:r>
    </w:p>
    <w:p w:rsidR="00000000" w:rsidDel="00000000" w:rsidP="00000000" w:rsidRDefault="00000000" w:rsidRPr="00000000" w14:paraId="0000008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“Goal 16: Peace, Justice and Strong Institutions - United Nations Sustainable Development.” </w:t>
      </w:r>
      <w:r w:rsidDel="00000000" w:rsidR="00000000" w:rsidRPr="00000000">
        <w:rPr>
          <w:rFonts w:ascii="Century Gothic" w:cs="Century Gothic" w:eastAsia="Century Gothic" w:hAnsi="Century Gothic"/>
          <w:i w:val="1"/>
          <w:iCs w:val="1"/>
          <w:highlight w:val="white"/>
          <w:rtl w:val="0"/>
        </w:rPr>
        <w:t xml:space="preserve">United Nations Sustainable Development</w:t>
      </w:r>
      <w:r w:rsidDel="00000000" w:rsidR="00000000" w:rsidRPr="00000000">
        <w:rPr>
          <w:rFonts w:ascii="Century Gothic" w:cs="Century Gothic" w:eastAsia="Century Gothic" w:hAnsi="Century Gothic"/>
          <w:highlight w:val="white"/>
          <w:rtl w:val="0"/>
        </w:rPr>
        <w:t xml:space="preserve">, 10 Sept. 2025, www.un.org/sustainabledevelopment/peace-justice/. Accessed 3 May 2026.</w:t>
      </w:r>
    </w:p>
    <w:p w:rsidR="00000000" w:rsidDel="00000000" w:rsidP="00000000" w:rsidRDefault="00000000" w:rsidRPr="00000000" w14:paraId="0000008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“Children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2025, www.un.org/en/global-issues/children. Accessed 9 May 2026.</w:t>
      </w:r>
    </w:p>
    <w:p w:rsidR="00000000" w:rsidDel="00000000" w:rsidP="00000000" w:rsidRDefault="00000000" w:rsidRPr="00000000" w14:paraId="0000009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OHCHR. “Convention on the Rights of the Child.”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2026, www.ohchr.org/en/instruments-mechanisms/instruments/convention-rights-child. Accessed 9 May 2026.</w:t>
      </w:r>
    </w:p>
    <w:p w:rsidR="00000000" w:rsidDel="00000000" w:rsidP="00000000" w:rsidRDefault="00000000" w:rsidRPr="00000000" w14:paraId="0000009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Philipp, Jennifer. “Child Soldiers in the Democratic Republic of the Congo - the Borgen Project.” </w:t>
      </w:r>
      <w:r w:rsidDel="00000000" w:rsidR="00000000" w:rsidRPr="00000000">
        <w:rPr>
          <w:rFonts w:ascii="Century Gothic" w:cs="Century Gothic" w:eastAsia="Century Gothic" w:hAnsi="Century Gothic"/>
          <w:i w:val="1"/>
          <w:iCs w:val="1"/>
          <w:highlight w:val="white"/>
          <w:rtl w:val="0"/>
        </w:rPr>
        <w:t xml:space="preserve">The Borgen Project</w:t>
      </w:r>
      <w:r w:rsidDel="00000000" w:rsidR="00000000" w:rsidRPr="00000000">
        <w:rPr>
          <w:rFonts w:ascii="Century Gothic" w:cs="Century Gothic" w:eastAsia="Century Gothic" w:hAnsi="Century Gothic"/>
          <w:highlight w:val="white"/>
          <w:rtl w:val="0"/>
        </w:rPr>
        <w:t xml:space="preserve">, 3 Feb. 2026, borgenproject.org/child-soldiers-in-the-democratic-republic-of-the-congo-2/. Accessed 19 Apr. 2026.</w:t>
      </w:r>
    </w:p>
    <w:p w:rsidR="00000000" w:rsidDel="00000000" w:rsidP="00000000" w:rsidRDefault="00000000" w:rsidRPr="00000000" w14:paraId="0000009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Reuters. “How Mexico’s Cartels Recruit Children and Groom Them into Killers.” </w:t>
      </w:r>
      <w:r w:rsidDel="00000000" w:rsidR="00000000" w:rsidRPr="00000000">
        <w:rPr>
          <w:rFonts w:ascii="Century Gothic" w:cs="Century Gothic" w:eastAsia="Century Gothic" w:hAnsi="Century Gothic"/>
          <w:i w:val="1"/>
          <w:iCs w:val="1"/>
          <w:highlight w:val="white"/>
          <w:rtl w:val="0"/>
        </w:rPr>
        <w:t xml:space="preserve">US News &amp; World Report</w:t>
      </w:r>
      <w:r w:rsidDel="00000000" w:rsidR="00000000" w:rsidRPr="00000000">
        <w:rPr>
          <w:rFonts w:ascii="Century Gothic" w:cs="Century Gothic" w:eastAsia="Century Gothic" w:hAnsi="Century Gothic"/>
          <w:highlight w:val="white"/>
          <w:rtl w:val="0"/>
        </w:rPr>
        <w:t xml:space="preserve">, U.S. News &amp; World Report, 2025, www.usnews.com/news/world/articles/2025-05-28/how-mexicos-cartels-recruit-children-and-groom-them-into-killers. Accessed 18 Apr. 2026.</w:t>
      </w:r>
    </w:p>
    <w:p w:rsidR="00000000" w:rsidDel="00000000" w:rsidP="00000000" w:rsidRDefault="00000000" w:rsidRPr="00000000" w14:paraId="0000009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Save the Children. “Resource Centre.” </w:t>
      </w:r>
      <w:r w:rsidDel="00000000" w:rsidR="00000000" w:rsidRPr="00000000">
        <w:rPr>
          <w:rFonts w:ascii="Century Gothic" w:cs="Century Gothic" w:eastAsia="Century Gothic" w:hAnsi="Century Gothic"/>
          <w:i w:val="1"/>
          <w:iCs w:val="1"/>
          <w:highlight w:val="white"/>
          <w:rtl w:val="0"/>
        </w:rPr>
        <w:t xml:space="preserve">Save the Children’s Resource Centre</w:t>
      </w:r>
      <w:r w:rsidDel="00000000" w:rsidR="00000000" w:rsidRPr="00000000">
        <w:rPr>
          <w:rFonts w:ascii="Century Gothic" w:cs="Century Gothic" w:eastAsia="Century Gothic" w:hAnsi="Century Gothic"/>
          <w:highlight w:val="white"/>
          <w:rtl w:val="0"/>
        </w:rPr>
        <w:t xml:space="preserve">, 2024, resourcecentre.savethechildren.net/. Accessed 9 May 2026.</w:t>
      </w:r>
    </w:p>
    <w:p w:rsidR="00000000" w:rsidDel="00000000" w:rsidP="00000000" w:rsidRDefault="00000000" w:rsidRPr="00000000" w14:paraId="0000009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School, Kathmandu. “UN Reports Highest Number of Grave Violations against Children in Armed Conflict.” </w:t>
      </w:r>
      <w:r w:rsidDel="00000000" w:rsidR="00000000" w:rsidRPr="00000000">
        <w:rPr>
          <w:rFonts w:ascii="Century Gothic" w:cs="Century Gothic" w:eastAsia="Century Gothic" w:hAnsi="Century Gothic"/>
          <w:i w:val="1"/>
          <w:iCs w:val="1"/>
          <w:highlight w:val="white"/>
          <w:rtl w:val="0"/>
        </w:rPr>
        <w:t xml:space="preserve">Jurist.org</w:t>
      </w:r>
      <w:r w:rsidDel="00000000" w:rsidR="00000000" w:rsidRPr="00000000">
        <w:rPr>
          <w:rFonts w:ascii="Century Gothic" w:cs="Century Gothic" w:eastAsia="Century Gothic" w:hAnsi="Century Gothic"/>
          <w:highlight w:val="white"/>
          <w:rtl w:val="0"/>
        </w:rPr>
        <w:t xml:space="preserve">, - JURIST - News, 21 June 2025, www.jurist.org/news/2025/06/un-reports-highest-number-of-grave-violations-against-children-in-armed-conflict-in-2024/. Accessed 9 May 2026.</w:t>
      </w:r>
    </w:p>
    <w:p w:rsidR="00000000" w:rsidDel="00000000" w:rsidP="00000000" w:rsidRDefault="00000000" w:rsidRPr="00000000" w14:paraId="0000009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Stimson. “Democratic Republic of Congo CSPA Country Profile • Stimson Center.” </w:t>
      </w:r>
      <w:r w:rsidDel="00000000" w:rsidR="00000000" w:rsidRPr="00000000">
        <w:rPr>
          <w:rFonts w:ascii="Century Gothic" w:cs="Century Gothic" w:eastAsia="Century Gothic" w:hAnsi="Century Gothic"/>
          <w:i w:val="1"/>
          <w:iCs w:val="1"/>
          <w:highlight w:val="white"/>
          <w:rtl w:val="0"/>
        </w:rPr>
        <w:t xml:space="preserve">Stimson Center</w:t>
      </w:r>
      <w:r w:rsidDel="00000000" w:rsidR="00000000" w:rsidRPr="00000000">
        <w:rPr>
          <w:rFonts w:ascii="Century Gothic" w:cs="Century Gothic" w:eastAsia="Century Gothic" w:hAnsi="Century Gothic"/>
          <w:highlight w:val="white"/>
          <w:rtl w:val="0"/>
        </w:rPr>
        <w:t xml:space="preserve">, 15 Jan. 2026, www.stimson.org/project/child-soldiers/cspa-implementation-tracker/country-profiles/democratic-republic-of-congo/. Accessed 19 Apr. 2026.</w:t>
      </w:r>
    </w:p>
    <w:p w:rsidR="00000000" w:rsidDel="00000000" w:rsidP="00000000" w:rsidRDefault="00000000" w:rsidRPr="00000000" w14:paraId="0000009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“Latin America’s Child Safety Crisis Meets Data, Politics, and Choices.” </w:t>
      </w:r>
      <w:r w:rsidDel="00000000" w:rsidR="00000000" w:rsidRPr="00000000">
        <w:rPr>
          <w:rFonts w:ascii="Century Gothic" w:cs="Century Gothic" w:eastAsia="Century Gothic" w:hAnsi="Century Gothic"/>
          <w:i w:val="1"/>
          <w:iCs w:val="1"/>
          <w:highlight w:val="white"/>
          <w:rtl w:val="0"/>
        </w:rPr>
        <w:t xml:space="preserve">LatinAmerican Post</w:t>
      </w:r>
      <w:r w:rsidDel="00000000" w:rsidR="00000000" w:rsidRPr="00000000">
        <w:rPr>
          <w:rFonts w:ascii="Century Gothic" w:cs="Century Gothic" w:eastAsia="Century Gothic" w:hAnsi="Century Gothic"/>
          <w:highlight w:val="white"/>
          <w:rtl w:val="0"/>
        </w:rPr>
        <w:t xml:space="preserve">, 2 Feb. 2026, latinamericanpost.com/americas/latin-americas-child-safety-crisis-meets-data-politics-and-choices/. Accessed 18 Apr. 2026.</w:t>
      </w:r>
    </w:p>
    <w:p w:rsidR="00000000" w:rsidDel="00000000" w:rsidP="00000000" w:rsidRDefault="00000000" w:rsidRPr="00000000" w14:paraId="0000009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Global Goals. “Goal 1: No Poverty - the Global Goals.” </w:t>
      </w:r>
      <w:r w:rsidDel="00000000" w:rsidR="00000000" w:rsidRPr="00000000">
        <w:rPr>
          <w:rFonts w:ascii="Century Gothic" w:cs="Century Gothic" w:eastAsia="Century Gothic" w:hAnsi="Century Gothic"/>
          <w:i w:val="1"/>
          <w:iCs w:val="1"/>
          <w:highlight w:val="white"/>
          <w:rtl w:val="0"/>
        </w:rPr>
        <w:t xml:space="preserve">The Global Goals</w:t>
      </w:r>
      <w:r w:rsidDel="00000000" w:rsidR="00000000" w:rsidRPr="00000000">
        <w:rPr>
          <w:rFonts w:ascii="Century Gothic" w:cs="Century Gothic" w:eastAsia="Century Gothic" w:hAnsi="Century Gothic"/>
          <w:highlight w:val="white"/>
          <w:rtl w:val="0"/>
        </w:rPr>
        <w:t xml:space="preserve">, 23 Jan. 2024, globalgoals.org/goals/1-no-poverty/. Accessed 3 May 2026.</w:t>
      </w:r>
    </w:p>
    <w:p w:rsidR="00000000" w:rsidDel="00000000" w:rsidP="00000000" w:rsidRDefault="00000000" w:rsidRPr="00000000" w14:paraId="0000009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Department of Labor, and Bureau of International Affairs. </w:t>
      </w:r>
      <w:r w:rsidDel="00000000" w:rsidR="00000000" w:rsidRPr="00000000">
        <w:rPr>
          <w:rFonts w:ascii="Century Gothic" w:cs="Century Gothic" w:eastAsia="Century Gothic" w:hAnsi="Century Gothic"/>
          <w:i w:val="1"/>
          <w:iCs w:val="1"/>
          <w:highlight w:val="white"/>
          <w:rtl w:val="0"/>
        </w:rPr>
        <w:t xml:space="preserve">Mexico SIGNIFICANT ADVANCEMENT PREVALENCE and SECTORAL DISTRIBUTION of CHILD LABOR</w:t>
      </w:r>
      <w:r w:rsidDel="00000000" w:rsidR="00000000" w:rsidRPr="00000000">
        <w:rPr>
          <w:rFonts w:ascii="Century Gothic" w:cs="Century Gothic" w:eastAsia="Century Gothic" w:hAnsi="Century Gothic"/>
          <w:highlight w:val="white"/>
          <w:rtl w:val="0"/>
        </w:rPr>
        <w:t xml:space="preserve">. 30 Sept. 2025, www.dol.gov/sites/dolgov/files/ILAB/child_labor_reports/tda2024/Mexico.pdf.</w:t>
      </w:r>
    </w:p>
    <w:p w:rsidR="00000000" w:rsidDel="00000000" w:rsidP="00000000" w:rsidRDefault="00000000" w:rsidRPr="00000000" w14:paraId="0000009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Meetings Coverage and Press Releases. “Public Statement by Chair of Working Group on Children and Armed Conflict | UN Meetings Coverage and Press Releases.”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edited by Security Council, 9 Sept. 2024, press.un.org/en/2024/sc15814.doc.htm. Accessed 19 Apr. 2026.</w:t>
      </w:r>
    </w:p>
    <w:p w:rsidR="00000000" w:rsidDel="00000000" w:rsidP="00000000" w:rsidRDefault="00000000" w:rsidRPr="00000000" w14:paraId="000000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News. “Haiti: Child Recruitment by Armed Groups Surges 70 per Cent.” </w:t>
      </w:r>
      <w:r w:rsidDel="00000000" w:rsidR="00000000" w:rsidRPr="00000000">
        <w:rPr>
          <w:rFonts w:ascii="Century Gothic" w:cs="Century Gothic" w:eastAsia="Century Gothic" w:hAnsi="Century Gothic"/>
          <w:i w:val="1"/>
          <w:iCs w:val="1"/>
          <w:highlight w:val="white"/>
          <w:rtl w:val="0"/>
        </w:rPr>
        <w:t xml:space="preserve">UN News</w:t>
      </w:r>
      <w:r w:rsidDel="00000000" w:rsidR="00000000" w:rsidRPr="00000000">
        <w:rPr>
          <w:rFonts w:ascii="Century Gothic" w:cs="Century Gothic" w:eastAsia="Century Gothic" w:hAnsi="Century Gothic"/>
          <w:highlight w:val="white"/>
          <w:rtl w:val="0"/>
        </w:rPr>
        <w:t xml:space="preserve">, 25 Nov. 2024, news.un.org/en/story/2024/11/1157401. Accessed 3 May 2026.</w:t>
      </w:r>
    </w:p>
    <w:p w:rsidR="00000000" w:rsidDel="00000000" w:rsidP="00000000" w:rsidRDefault="00000000" w:rsidRPr="00000000" w14:paraId="0000009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“Recruitment of Child Soldiers Is on the Rise, despite Global Commitments.” </w:t>
      </w:r>
      <w:r w:rsidDel="00000000" w:rsidR="00000000" w:rsidRPr="00000000">
        <w:rPr>
          <w:rFonts w:ascii="Century Gothic" w:cs="Century Gothic" w:eastAsia="Century Gothic" w:hAnsi="Century Gothic"/>
          <w:i w:val="1"/>
          <w:iCs w:val="1"/>
          <w:highlight w:val="white"/>
          <w:rtl w:val="0"/>
        </w:rPr>
        <w:t xml:space="preserve">UN News</w:t>
      </w:r>
      <w:r w:rsidDel="00000000" w:rsidR="00000000" w:rsidRPr="00000000">
        <w:rPr>
          <w:rFonts w:ascii="Century Gothic" w:cs="Century Gothic" w:eastAsia="Century Gothic" w:hAnsi="Century Gothic"/>
          <w:highlight w:val="white"/>
          <w:rtl w:val="0"/>
        </w:rPr>
        <w:t xml:space="preserve">, 31 Dec. 2024, news.un.org/en/story/2024/12/1158661. Accessed 18 Apr. 2026.</w:t>
      </w:r>
    </w:p>
    <w:p w:rsidR="00000000" w:rsidDel="00000000" w:rsidP="00000000" w:rsidRDefault="00000000" w:rsidRPr="00000000" w14:paraId="000000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UNICEF. “Child Recruitment and Use by Armed Groups in Colombia Quadruples over Five Years.”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2026, www.unicef.org/press-releases/child-recruitment-and-use-armed-groups-in-colombia-quadruples-over-five-years. Accessed 9 May 2026.</w:t>
      </w:r>
    </w:p>
    <w:p w:rsidR="00000000" w:rsidDel="00000000" w:rsidP="00000000" w:rsidRDefault="00000000" w:rsidRPr="00000000" w14:paraId="0000009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“Child Recruitment in Haiti Surges Threefold in Just One Year – UNICEF.”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2026, www.unicef.org/press-releases/child-recruitment-haiti-surges-threefold-just-one-year-unicef. Accessed 18 Apr. 2026.</w:t>
      </w:r>
    </w:p>
    <w:p w:rsidR="00000000" w:rsidDel="00000000" w:rsidP="00000000" w:rsidRDefault="00000000" w:rsidRPr="00000000" w14:paraId="000000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“Children Recruited by Armed Forces or Armed Groups.”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2022, www.unicef.org/protection/children-recruited-by-armed-forces. Accessed 9 May 2026.</w:t>
      </w:r>
    </w:p>
    <w:p w:rsidR="00000000" w:rsidDel="00000000" w:rsidP="00000000" w:rsidRDefault="00000000" w:rsidRPr="00000000" w14:paraId="0000009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“Critical Support for Former Child Soldiers in South Sudan at Risk from Lack of Funding.”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2020, www.unicef.org/press-releases/critical-support-former-child-soldiers-south-sudan-risk-lack-funding. Accessed 26 Apr. 2026.</w:t>
      </w:r>
    </w:p>
    <w:p w:rsidR="00000000" w:rsidDel="00000000" w:rsidP="00000000" w:rsidRDefault="00000000" w:rsidRPr="00000000" w14:paraId="000000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iCs w:val="1"/>
          <w:highlight w:val="white"/>
          <w:rtl w:val="0"/>
        </w:rPr>
        <w:t xml:space="preserve">ENDING the RECRUITMENT and USE of CHILDREN in ARMED CONFLICT 1 ENDING the RECRUITMENT and USE of CHILDREN in ARMED CONFLICT</w:t>
      </w:r>
      <w:r w:rsidDel="00000000" w:rsidR="00000000" w:rsidRPr="00000000">
        <w:rPr>
          <w:rFonts w:ascii="Century Gothic" w:cs="Century Gothic" w:eastAsia="Century Gothic" w:hAnsi="Century Gothic"/>
          <w:highlight w:val="white"/>
          <w:rtl w:val="0"/>
        </w:rPr>
        <w:t xml:space="preserve">. Feb. 2016, www.unicef.org.uk/wp-content/uploads/2016/02/UnicefChildSoldiersbriefing_UKweb.pdf.</w:t>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“Frequently Asked Questions on the Convention on the Rights of the Child.”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2019, www.unicef.org/stories/child-rights-convention-faq. Accessed 19 Apr. 2026.</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“History of Child Rights.”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2019, www.unicef.org/child-rights-convention/history-child-rights. Accessed 18 Apr. 2026.</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“More than 300,000 Grave Violations against Children in Conflict Verified Worldwide in Past 18 Years.”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2023, www.unicef.org/press-releases/more-300000-grave-violations-against-children-conflict-verified-worldwide-past-18. Accessed 18 Apr. 2026.</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“Number of Children in Haiti Recruited by Armed Groups Soars by 70 per Cent in One Year – UNICEF.”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24 Nov. 2024, www.unicef.org/press-releases/number-children-haiti-recruited-armed-groups-soars-70-cent-one-year-unicef. Accessed 19 Apr. 2026.</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“Paris Principles and Commitments on Children Associated with Armed Forces or Armed Groups Explanatory Note.”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2026, www.unicef.org/documents/paris-principles-and-commitments-children-associated-armed-forces-or-armed-groups. Accessed 26 Apr. 2026.</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“The Haitian Government and UNICEF Launch the PREJEUNES Programme to Address the Recruitment of Children and Youth by Armed Gangs.”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10 July 2025, www.unicef.org/haiti/en/press-releases/haitian-government-and-unicef-launch-prejeunes-programme-address-recruitment. Accessed 19 Apr. 2026.</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UNICEF USA. “Over 300,000 Grave Violations against Children in Conflict since 2005.” </w:t>
      </w:r>
      <w:r w:rsidDel="00000000" w:rsidR="00000000" w:rsidRPr="00000000">
        <w:rPr>
          <w:rFonts w:ascii="Century Gothic" w:cs="Century Gothic" w:eastAsia="Century Gothic" w:hAnsi="Century Gothic"/>
          <w:i w:val="1"/>
          <w:iCs w:val="1"/>
          <w:highlight w:val="white"/>
          <w:rtl w:val="0"/>
        </w:rPr>
        <w:t xml:space="preserve">UNICEF USA</w:t>
      </w:r>
      <w:r w:rsidDel="00000000" w:rsidR="00000000" w:rsidRPr="00000000">
        <w:rPr>
          <w:rFonts w:ascii="Century Gothic" w:cs="Century Gothic" w:eastAsia="Century Gothic" w:hAnsi="Century Gothic"/>
          <w:highlight w:val="white"/>
          <w:rtl w:val="0"/>
        </w:rPr>
        <w:t xml:space="preserve">, edited by Maryanne Buechner, U.S. Fund for UNICEF, 31 Dec. 2021, www.unicefusa.org/stories/over-300000-grave-violations-against-children-conflict-2005. Accessed 18 Apr. 2026.</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“UNICEF USA.” </w:t>
      </w:r>
      <w:r w:rsidDel="00000000" w:rsidR="00000000" w:rsidRPr="00000000">
        <w:rPr>
          <w:rFonts w:ascii="Century Gothic" w:cs="Century Gothic" w:eastAsia="Century Gothic" w:hAnsi="Century Gothic"/>
          <w:i w:val="1"/>
          <w:iCs w:val="1"/>
          <w:highlight w:val="white"/>
          <w:rtl w:val="0"/>
        </w:rPr>
        <w:t xml:space="preserve">UNICEF USA</w:t>
      </w:r>
      <w:r w:rsidDel="00000000" w:rsidR="00000000" w:rsidRPr="00000000">
        <w:rPr>
          <w:rFonts w:ascii="Century Gothic" w:cs="Century Gothic" w:eastAsia="Century Gothic" w:hAnsi="Century Gothic"/>
          <w:highlight w:val="white"/>
          <w:rtl w:val="0"/>
        </w:rPr>
        <w:t xml:space="preserve">, 19 Jan. 2026, www.unicefusa.org/where-unicef-works/africa/democratic-republic-congo. Accessed 19 Apr. 2026.</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“UNICEF USA.” </w:t>
      </w:r>
      <w:r w:rsidDel="00000000" w:rsidR="00000000" w:rsidRPr="00000000">
        <w:rPr>
          <w:rFonts w:ascii="Century Gothic" w:cs="Century Gothic" w:eastAsia="Century Gothic" w:hAnsi="Century Gothic"/>
          <w:i w:val="1"/>
          <w:iCs w:val="1"/>
          <w:highlight w:val="white"/>
          <w:rtl w:val="0"/>
        </w:rPr>
        <w:t xml:space="preserve">UNICEF USA</w:t>
      </w:r>
      <w:r w:rsidDel="00000000" w:rsidR="00000000" w:rsidRPr="00000000">
        <w:rPr>
          <w:rFonts w:ascii="Century Gothic" w:cs="Century Gothic" w:eastAsia="Century Gothic" w:hAnsi="Century Gothic"/>
          <w:highlight w:val="white"/>
          <w:rtl w:val="0"/>
        </w:rPr>
        <w:t xml:space="preserve">, 2 Mar. 2026, www.unicefusa.org/what-unicef-does/emergency-response/conflict/children-recruited-armed-groups. Accessed 9 May 2026.</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UNICEF, and Save the Children. </w:t>
      </w:r>
      <w:r w:rsidDel="00000000" w:rsidR="00000000" w:rsidRPr="00000000">
        <w:rPr>
          <w:rFonts w:ascii="Century Gothic" w:cs="Century Gothic" w:eastAsia="Century Gothic" w:hAnsi="Century Gothic"/>
          <w:i w:val="1"/>
          <w:iCs w:val="1"/>
          <w:highlight w:val="white"/>
          <w:rtl w:val="0"/>
        </w:rPr>
        <w:t xml:space="preserve">PARIS PRINCIPLES OPERATIONAL HANDBOOK a PARIS PRINCIPLES OPERATIONAL HANDBOOK PARIS PRINCIPLES STEERING GROUP</w:t>
      </w:r>
      <w:r w:rsidDel="00000000" w:rsidR="00000000" w:rsidRPr="00000000">
        <w:rPr>
          <w:rFonts w:ascii="Century Gothic" w:cs="Century Gothic" w:eastAsia="Century Gothic" w:hAnsi="Century Gothic"/>
          <w:highlight w:val="white"/>
          <w:rtl w:val="0"/>
        </w:rPr>
        <w:t xml:space="preserve">. Feb. 2007, www.unicef.org/media/132341/file/Paris%20Principles%20Operational%20Handbook%20.pdf. Accessed 26 Apr. 2026.</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w:t>
      </w:r>
      <w:r w:rsidDel="00000000" w:rsidR="00000000" w:rsidRPr="00000000">
        <w:rPr>
          <w:rFonts w:ascii="Century Gothic" w:cs="Century Gothic" w:eastAsia="Century Gothic" w:hAnsi="Century Gothic"/>
          <w:i w:val="1"/>
          <w:iCs w:val="1"/>
          <w:highlight w:val="white"/>
          <w:rtl w:val="0"/>
        </w:rPr>
        <w:t xml:space="preserve">Children Affected by Grave Violations TRENDS and DEVELOPMENTS 2024</w:t>
      </w:r>
      <w:r w:rsidDel="00000000" w:rsidR="00000000" w:rsidRPr="00000000">
        <w:rPr>
          <w:rFonts w:ascii="Century Gothic" w:cs="Century Gothic" w:eastAsia="Century Gothic" w:hAnsi="Century Gothic"/>
          <w:highlight w:val="white"/>
          <w:rtl w:val="0"/>
        </w:rPr>
        <w:t xml:space="preserve">. 2024, childrenandarmedconflict.un.org/wp-content/uploads/2025/06/Summary-of-the-Annual-Report-on-Children-and-Armed-Conflict.pdf.</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“Client Challenge.”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2026, press.un.org/en/2025/sc16101.doc.htm. Accessed 3 May 2026.</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“Document Viewer.”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2026, docs.un.org/en/S/2025/247. Accessed 9 May 2026.</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Children and Armed Conflict. </w:t>
      </w:r>
      <w:r w:rsidDel="00000000" w:rsidR="00000000" w:rsidRPr="00000000">
        <w:rPr>
          <w:rFonts w:ascii="Century Gothic" w:cs="Century Gothic" w:eastAsia="Century Gothic" w:hAnsi="Century Gothic"/>
          <w:i w:val="1"/>
          <w:iCs w:val="1"/>
          <w:highlight w:val="white"/>
          <w:rtl w:val="0"/>
        </w:rPr>
        <w:t xml:space="preserve">Reframing Child Reintegration: From Humanitarian Action to Development, Prevention, Peacebuilding and beyond September 2020 GCRCS Co-Chairs: Global Coalition for Reintegration of Child Soldiers Reframing Child Reintegration 2</w:t>
      </w:r>
      <w:r w:rsidDel="00000000" w:rsidR="00000000" w:rsidRPr="00000000">
        <w:rPr>
          <w:rFonts w:ascii="Century Gothic" w:cs="Century Gothic" w:eastAsia="Century Gothic" w:hAnsi="Century Gothic"/>
          <w:highlight w:val="white"/>
          <w:rtl w:val="0"/>
        </w:rPr>
        <w:t xml:space="preserve">. Edited by UNICEF and OSRSG-CAAC, Sept. 2020, childrenandarmedconflict.un.org/wp-content/uploads/2020/09/GCR-Reframing-Child-Reintegration-92020.pdf.</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General Assembly. “Optional Protocol to the Convention on the Rights of the Child on the Involvement of Children in Armed Conflict.”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2026, www.ohchr.org/en/instruments-mechanisms/instruments/optional-protocol-convention-rights-child-involvement-children. Accessed 18 Apr. 2026.</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States Department of State. “Yemen - United States Department of State.” </w:t>
      </w:r>
      <w:r w:rsidDel="00000000" w:rsidR="00000000" w:rsidRPr="00000000">
        <w:rPr>
          <w:rFonts w:ascii="Century Gothic" w:cs="Century Gothic" w:eastAsia="Century Gothic" w:hAnsi="Century Gothic"/>
          <w:i w:val="1"/>
          <w:iCs w:val="1"/>
          <w:highlight w:val="white"/>
          <w:rtl w:val="0"/>
        </w:rPr>
        <w:t xml:space="preserve">United States Department of State</w:t>
      </w:r>
      <w:r w:rsidDel="00000000" w:rsidR="00000000" w:rsidRPr="00000000">
        <w:rPr>
          <w:rFonts w:ascii="Century Gothic" w:cs="Century Gothic" w:eastAsia="Century Gothic" w:hAnsi="Century Gothic"/>
          <w:highlight w:val="white"/>
          <w:rtl w:val="0"/>
        </w:rPr>
        <w:t xml:space="preserve">, 6 Jan. 2025, www.state.gov/reports/2024-trafficking-in-persons-report/yemen/. Accessed 9 May 2026.</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Vinet, Fabienne. “22,495 Haunting Cries: Children Affected by Conflict Endured an Unconscionable Number of Grave Violations in 2024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2024, childrenandarmedconflict.un.org/2025/06/22495-haunting-cries-children-affected-by-conflict-endured-an-unconscionable-number-of-grave-violations-in-2024/. Accessed 18 Apr. 2026.</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“Action Plans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2025, childrenandarmedconflict.un.org/tools-for-action/action-plans/. Accessed 26 Apr. 2026.</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“Child Recruitment and Use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2023, childrenandarmedconflict.un.org/six-grave-violations/child-soldiers/. Accessed 9 May 2026.</w:t>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“Children in Detention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2017, childrenandarmedconflict.un.org/children-in-detention/. Accessed 18 Apr. 2026.</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“Children, Not Soldiers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2018, childrenandarmedconflict.un.org/children-not-soldiers/. Accessed 26 Apr. 2026.</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“Global Coalition for Reintegration of Child Soldiers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2021, childrenandarmedconflict.un.org/global-coalition-for-reintegration-of-child-soldiers/. Accessed 26 Apr. 2026.</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“Monitoring and Reporting on Grave Violations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2023, childrenandarmedconflict.un.org/tools-for-action/monitoring-and-reporting/. Accessed 25 Apr. 2026.</w:t>
      </w:r>
    </w:p>
    <w:p w:rsidR="00000000" w:rsidDel="00000000" w:rsidP="00000000" w:rsidRDefault="00000000" w:rsidRPr="00000000" w14:paraId="000000B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“Myanmar: Sharp Increase in Grave Violations against Children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2025, childrenandarmedconflict.un.org/2025/04/myanmar-sharp-increase-in-grave-violations-against-children/. Accessed 9 May 2026.</w:t>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“New Action Plan to Strengthen the Protection of Children Affected by Armed Conflict in Yemen Signed with the Houthis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2022, childrenandarmedconflict.un.org/2022/04/new-action-plan-to-strengthen-the-protection-of-children-affected-by-armed-conflict-in-yemen-signed-with-the-houthis/. Accessed 9 May 2026.</w:t>
      </w:r>
    </w:p>
    <w:p w:rsidR="00000000" w:rsidDel="00000000" w:rsidP="00000000" w:rsidRDefault="00000000" w:rsidRPr="00000000" w14:paraId="000000B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 Special Representative for Children and Armed Conflict Welcomes New Security Council Resolution – </w:t>
        <w:tab/>
        <w:t xml:space="preserve">Office of the Special Representative of the Secretary-General for Children and Armed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2021, childrenandarmedconflict.un.org/2018/07/un-special-representative-welcomes-new-security-council-resolution/. Accessed 26 Apr. 2026.</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Watchlist. “D. R. Congo – Watchlist.” </w:t>
      </w:r>
      <w:r w:rsidDel="00000000" w:rsidR="00000000" w:rsidRPr="00000000">
        <w:rPr>
          <w:rFonts w:ascii="Century Gothic" w:cs="Century Gothic" w:eastAsia="Century Gothic" w:hAnsi="Century Gothic"/>
          <w:i w:val="1"/>
          <w:iCs w:val="1"/>
          <w:highlight w:val="white"/>
          <w:rtl w:val="0"/>
        </w:rPr>
        <w:t xml:space="preserve">Watchlist</w:t>
      </w:r>
      <w:r w:rsidDel="00000000" w:rsidR="00000000" w:rsidRPr="00000000">
        <w:rPr>
          <w:rFonts w:ascii="Century Gothic" w:cs="Century Gothic" w:eastAsia="Century Gothic" w:hAnsi="Century Gothic"/>
          <w:highlight w:val="white"/>
          <w:rtl w:val="0"/>
        </w:rPr>
        <w:t xml:space="preserve">, 21 Oct. 2016, watchlist.org/countries/d-r-congo/. Accessed 19 Apr. 2026.</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Watchlist on Children and Armed Conflct. “Publications Archive – Watchlist.” </w:t>
      </w:r>
      <w:r w:rsidDel="00000000" w:rsidR="00000000" w:rsidRPr="00000000">
        <w:rPr>
          <w:rFonts w:ascii="Century Gothic" w:cs="Century Gothic" w:eastAsia="Century Gothic" w:hAnsi="Century Gothic"/>
          <w:i w:val="1"/>
          <w:iCs w:val="1"/>
          <w:highlight w:val="white"/>
          <w:rtl w:val="0"/>
        </w:rPr>
        <w:t xml:space="preserve">Watchlist</w:t>
      </w:r>
      <w:r w:rsidDel="00000000" w:rsidR="00000000" w:rsidRPr="00000000">
        <w:rPr>
          <w:rFonts w:ascii="Century Gothic" w:cs="Century Gothic" w:eastAsia="Century Gothic" w:hAnsi="Century Gothic"/>
          <w:highlight w:val="white"/>
          <w:rtl w:val="0"/>
        </w:rPr>
        <w:t xml:space="preserve">, May 2026, watchlist.org/publications/. Accessed 9 May 2026.</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Watchlist, and Human Rights Watch. </w:t>
      </w:r>
      <w:r w:rsidDel="00000000" w:rsidR="00000000" w:rsidRPr="00000000">
        <w:rPr>
          <w:rFonts w:ascii="Century Gothic" w:cs="Century Gothic" w:eastAsia="Century Gothic" w:hAnsi="Century Gothic"/>
          <w:i w:val="1"/>
          <w:iCs w:val="1"/>
          <w:highlight w:val="white"/>
          <w:rtl w:val="0"/>
        </w:rPr>
        <w:t xml:space="preserve">Military Detention of Children in Armed Conflict the ROLE of HANDOVER PROTOCOLS in PROTECTING CHILDREN’S RIGHTS</w:t>
      </w:r>
      <w:r w:rsidDel="00000000" w:rsidR="00000000" w:rsidRPr="00000000">
        <w:rPr>
          <w:rFonts w:ascii="Century Gothic" w:cs="Century Gothic" w:eastAsia="Century Gothic" w:hAnsi="Century Gothic"/>
          <w:highlight w:val="white"/>
          <w:rtl w:val="0"/>
        </w:rPr>
        <w:t xml:space="preserve">. 2019, watchlist.org/wp-content/uploads/2362-watchlist-military-detention-policy_note-lr.pdf. Accessed 18 Apr. 2026.</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F">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0">
      <w:pPr>
        <w:spacing w:line="360" w:lineRule="auto"/>
        <w:rPr>
          <w:rFonts w:ascii="Century Gothic" w:cs="Century Gothic" w:eastAsia="Century Gothic" w:hAnsi="Century Gothic"/>
        </w:rPr>
        <w:sectPr>
          <w:headerReference r:id="rId12" w:type="default"/>
          <w:footerReference r:id="rId13" w:type="default"/>
          <w:type w:val="nextPage"/>
          <w:pgSz w:h="15840" w:w="12240" w:orient="portrait"/>
          <w:pgMar w:bottom="1440" w:top="1440" w:left="1440" w:right="1440" w:header="0" w:footer="720"/>
          <w:pgNumType w:start="1"/>
        </w:sectPr>
      </w:pPr>
      <w:r w:rsidDel="00000000" w:rsidR="00000000" w:rsidRPr="00000000">
        <w:rPr>
          <w:rtl w:val="0"/>
        </w:rPr>
      </w:r>
    </w:p>
    <w:p w:rsidR="00000000" w:rsidDel="00000000" w:rsidP="00000000" w:rsidRDefault="00000000" w:rsidRPr="00000000" w14:paraId="000000C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rPr>
        <w:sectPr>
          <w:headerReference r:id="rId14" w:type="default"/>
          <w:footerReference r:id="rId15" w:type="default"/>
          <w:type w:val="nextPage"/>
          <w:pgSz w:h="15840" w:w="12240" w:orient="portrait"/>
          <w:pgMar w:bottom="1440" w:top="1440" w:left="1440" w:right="1440" w:header="0" w:footer="720"/>
          <w:pgNumType w:start="1"/>
        </w:sectPr>
      </w:pPr>
      <w:bookmarkStart w:colFirst="0" w:colLast="0" w:name="_vcg2z0asy6a9" w:id="2"/>
      <w:bookmarkEnd w:id="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ISP + ISP Chair Pairing</w:t>
      </w:r>
      <w:r w:rsidDel="00000000" w:rsidR="00000000" w:rsidRPr="00000000">
        <w:rPr>
          <w:rtl w:val="0"/>
        </w:rPr>
      </w:r>
    </w:p>
    <w:p w:rsidR="00000000" w:rsidDel="00000000" w:rsidP="00000000" w:rsidRDefault="00000000" w:rsidRPr="00000000" w14:paraId="000000C2">
      <w:pP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ISP + ISP Chair Pairing</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4080"/>
        <w:gridCol w:w="3915"/>
        <w:tblGridChange w:id="0">
          <w:tblGrid>
            <w:gridCol w:w="1365"/>
            <w:gridCol w:w="4080"/>
            <w:gridCol w:w="3915"/>
          </w:tblGrid>
        </w:tblGridChange>
      </w:tblGrid>
      <w:tr>
        <w:trPr>
          <w:cantSplit w:val="0"/>
          <w:trHeight w:val="420" w:hRule="atLeast"/>
          <w:tblHeader w:val="1"/>
        </w:trPr>
        <w:tc>
          <w:tcPr>
            <w:gridSpan w:val="3"/>
            <w:shd w:fill="ffe599" w:val="clear"/>
          </w:tcPr>
          <w:p w:rsidR="00000000" w:rsidDel="00000000" w:rsidP="00000000" w:rsidRDefault="00000000" w:rsidRPr="00000000" w14:paraId="000000C3">
            <w:pPr>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Issue Bulletin 1</w:t>
            </w:r>
          </w:p>
        </w:tc>
      </w:tr>
      <w:tr>
        <w:trPr>
          <w:cantSplit w:val="0"/>
          <w:tblHeader w:val="1"/>
        </w:trPr>
        <w:tc>
          <w:tcPr>
            <w:shd w:fill="ffe599" w:val="clear"/>
          </w:tcPr>
          <w:p w:rsidR="00000000" w:rsidDel="00000000" w:rsidP="00000000" w:rsidRDefault="00000000" w:rsidRPr="00000000" w14:paraId="000000C6">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Due Dates</w:t>
            </w:r>
          </w:p>
        </w:tc>
        <w:tc>
          <w:tcPr>
            <w:shd w:fill="ffe599" w:val="clear"/>
          </w:tcPr>
          <w:p w:rsidR="00000000" w:rsidDel="00000000" w:rsidP="00000000" w:rsidRDefault="00000000" w:rsidRPr="00000000" w14:paraId="000000C7">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1 (Saksham)</w:t>
            </w:r>
          </w:p>
        </w:tc>
        <w:tc>
          <w:tcPr>
            <w:shd w:fill="ffe599" w:val="clear"/>
          </w:tcPr>
          <w:p w:rsidR="00000000" w:rsidDel="00000000" w:rsidP="00000000" w:rsidRDefault="00000000" w:rsidRPr="00000000" w14:paraId="000000C8">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2 (Sofia Rios)</w:t>
            </w:r>
          </w:p>
        </w:tc>
      </w:tr>
      <w:tr>
        <w:trPr>
          <w:cantSplit w:val="0"/>
          <w:trHeight w:val="447.978515625" w:hRule="atLeast"/>
          <w:tblHeader w:val="1"/>
        </w:trPr>
        <w:tc>
          <w:tcPr/>
          <w:p w:rsidR="00000000" w:rsidDel="00000000" w:rsidP="00000000" w:rsidRDefault="00000000" w:rsidRPr="00000000" w14:paraId="000000C9">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April 18th at 11:59 pm</w:t>
            </w:r>
          </w:p>
        </w:tc>
        <w:tc>
          <w:tcPr>
            <w:shd w:fill="fff2cc" w:val="clear"/>
          </w:tcPr>
          <w:p w:rsidR="00000000" w:rsidDel="00000000" w:rsidP="00000000" w:rsidRDefault="00000000" w:rsidRPr="00000000" w14:paraId="000000CA">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highlight w:val="green"/>
                <w:rtl w:val="0"/>
              </w:rPr>
              <w:t xml:space="preserve">Introduction</w:t>
            </w:r>
            <w:r w:rsidDel="00000000" w:rsidR="00000000" w:rsidRPr="00000000">
              <w:rPr>
                <w:rFonts w:ascii="Century Gothic" w:cs="Century Gothic" w:eastAsia="Century Gothic" w:hAnsi="Century Gothic"/>
                <w:sz w:val="20"/>
                <w:szCs w:val="20"/>
                <w:rtl w:val="0"/>
              </w:rPr>
              <w:t xml:space="preserve"> + </w:t>
            </w:r>
            <w:r w:rsidDel="00000000" w:rsidR="00000000" w:rsidRPr="00000000">
              <w:rPr>
                <w:rFonts w:ascii="Century Gothic" w:cs="Century Gothic" w:eastAsia="Century Gothic" w:hAnsi="Century Gothic"/>
                <w:sz w:val="20"/>
                <w:szCs w:val="20"/>
                <w:highlight w:val="green"/>
                <w:rtl w:val="0"/>
              </w:rPr>
              <w:t xml:space="preserve">Major Parties</w:t>
            </w:r>
            <w:r w:rsidDel="00000000" w:rsidR="00000000" w:rsidRPr="00000000">
              <w:rPr>
                <w:rFonts w:ascii="Century Gothic" w:cs="Century Gothic" w:eastAsia="Century Gothic" w:hAnsi="Century Gothic"/>
                <w:sz w:val="20"/>
                <w:szCs w:val="20"/>
                <w:rtl w:val="0"/>
              </w:rPr>
              <w:t xml:space="preserve"> </w:t>
            </w:r>
          </w:p>
        </w:tc>
        <w:tc>
          <w:tcPr>
            <w:shd w:fill="fff2cc" w:val="clear"/>
          </w:tcPr>
          <w:p w:rsidR="00000000" w:rsidDel="00000000" w:rsidP="00000000" w:rsidRDefault="00000000" w:rsidRPr="00000000" w14:paraId="000000CB">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General Overview + Key Terms</w:t>
            </w:r>
          </w:p>
        </w:tc>
      </w:tr>
      <w:tr>
        <w:trPr>
          <w:cantSplit w:val="0"/>
          <w:tblHeader w:val="1"/>
        </w:trPr>
        <w:tc>
          <w:tcPr/>
          <w:p w:rsidR="00000000" w:rsidDel="00000000" w:rsidP="00000000" w:rsidRDefault="00000000" w:rsidRPr="00000000" w14:paraId="000000CC">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25th at 11:59 pm</w:t>
            </w:r>
          </w:p>
        </w:tc>
        <w:tc>
          <w:tcPr>
            <w:shd w:fill="fff2cc" w:val="clear"/>
          </w:tcPr>
          <w:p w:rsidR="00000000" w:rsidDel="00000000" w:rsidP="00000000" w:rsidRDefault="00000000" w:rsidRPr="00000000" w14:paraId="000000CD">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Timeline + Evaluation of Previous Attempts to Resolve the Issue</w:t>
            </w:r>
          </w:p>
        </w:tc>
        <w:tc>
          <w:tcPr>
            <w:shd w:fill="fff2cc" w:val="clear"/>
          </w:tcPr>
          <w:p w:rsidR="00000000" w:rsidDel="00000000" w:rsidP="00000000" w:rsidRDefault="00000000" w:rsidRPr="00000000" w14:paraId="000000CE">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 Involvement + Possible Solutions</w:t>
            </w:r>
          </w:p>
        </w:tc>
      </w:tr>
      <w:tr>
        <w:trPr>
          <w:cantSplit w:val="0"/>
          <w:tblHeader w:val="1"/>
        </w:trPr>
        <w:tc>
          <w:tcPr/>
          <w:p w:rsidR="00000000" w:rsidDel="00000000" w:rsidP="00000000" w:rsidRDefault="00000000" w:rsidRPr="00000000" w14:paraId="000000CF">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2nd at 11:59 pm</w:t>
            </w:r>
          </w:p>
        </w:tc>
        <w:tc>
          <w:tcPr>
            <w:shd w:fill="fff2cc" w:val="clear"/>
          </w:tcPr>
          <w:p w:rsidR="00000000" w:rsidDel="00000000" w:rsidP="00000000" w:rsidRDefault="00000000" w:rsidRPr="00000000" w14:paraId="000000D0">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Link to SDGs</w:t>
            </w:r>
          </w:p>
        </w:tc>
        <w:tc>
          <w:tcPr>
            <w:shd w:fill="fff2cc" w:val="clear"/>
          </w:tcPr>
          <w:p w:rsidR="00000000" w:rsidDel="00000000" w:rsidP="00000000" w:rsidRDefault="00000000" w:rsidRPr="00000000" w14:paraId="000000D1">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Appendix</w:t>
            </w:r>
          </w:p>
        </w:tc>
      </w:tr>
      <w:tr>
        <w:trPr>
          <w:cantSplit w:val="0"/>
          <w:trHeight w:val="420" w:hRule="atLeast"/>
          <w:tblHeader w:val="0"/>
        </w:trPr>
        <w:tc>
          <w:tcPr>
            <w:gridSpan w:val="3"/>
            <w:shd w:fill="ffe599" w:val="clear"/>
          </w:tcPr>
          <w:p w:rsidR="00000000" w:rsidDel="00000000" w:rsidP="00000000" w:rsidRDefault="00000000" w:rsidRPr="00000000" w14:paraId="000000D2">
            <w:pPr>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Issue Bulletin 2</w:t>
            </w:r>
          </w:p>
        </w:tc>
      </w:tr>
      <w:tr>
        <w:trPr>
          <w:cantSplit w:val="0"/>
          <w:tblHeader w:val="0"/>
        </w:trPr>
        <w:tc>
          <w:tcPr>
            <w:shd w:fill="ffe599" w:val="clear"/>
          </w:tcPr>
          <w:p w:rsidR="00000000" w:rsidDel="00000000" w:rsidP="00000000" w:rsidRDefault="00000000" w:rsidRPr="00000000" w14:paraId="000000D5">
            <w:pPr>
              <w:widowControl w:val="0"/>
              <w:spacing w:line="240" w:lineRule="auto"/>
              <w:rPr>
                <w:rFonts w:ascii="Century Gothic" w:cs="Century Gothic" w:eastAsia="Century Gothic" w:hAnsi="Century Gothic"/>
                <w:b w:val="1"/>
                <w:bCs w:val="1"/>
              </w:rPr>
            </w:pPr>
            <w:r w:rsidDel="00000000" w:rsidR="00000000" w:rsidRPr="00000000">
              <w:rPr>
                <w:rtl w:val="0"/>
              </w:rPr>
            </w:r>
          </w:p>
        </w:tc>
        <w:tc>
          <w:tcPr>
            <w:shd w:fill="ffe599" w:val="clear"/>
          </w:tcPr>
          <w:p w:rsidR="00000000" w:rsidDel="00000000" w:rsidP="00000000" w:rsidRDefault="00000000" w:rsidRPr="00000000" w14:paraId="000000D6">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1 (Saksham)</w:t>
            </w:r>
          </w:p>
        </w:tc>
        <w:tc>
          <w:tcPr>
            <w:shd w:fill="ffe599" w:val="clear"/>
          </w:tcPr>
          <w:p w:rsidR="00000000" w:rsidDel="00000000" w:rsidP="00000000" w:rsidRDefault="00000000" w:rsidRPr="00000000" w14:paraId="000000D7">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2 (Sofia)</w:t>
            </w:r>
          </w:p>
        </w:tc>
      </w:tr>
      <w:tr>
        <w:trPr>
          <w:cantSplit w:val="0"/>
          <w:tblHeader w:val="0"/>
        </w:trPr>
        <w:tc>
          <w:tcPr/>
          <w:p w:rsidR="00000000" w:rsidDel="00000000" w:rsidP="00000000" w:rsidRDefault="00000000" w:rsidRPr="00000000" w14:paraId="000000D8">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9th</w:t>
            </w:r>
          </w:p>
          <w:p w:rsidR="00000000" w:rsidDel="00000000" w:rsidP="00000000" w:rsidRDefault="00000000" w:rsidRPr="00000000" w14:paraId="000000D9">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11:59 pm</w:t>
            </w:r>
            <w:r w:rsidDel="00000000" w:rsidR="00000000" w:rsidRPr="00000000">
              <w:rPr>
                <w:rtl w:val="0"/>
              </w:rPr>
            </w:r>
          </w:p>
        </w:tc>
        <w:tc>
          <w:tcPr>
            <w:shd w:fill="fff2cc" w:val="clear"/>
          </w:tcPr>
          <w:p w:rsidR="00000000" w:rsidDel="00000000" w:rsidP="00000000" w:rsidRDefault="00000000" w:rsidRPr="00000000" w14:paraId="000000DA">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General Overview + Key Terms</w:t>
            </w:r>
          </w:p>
        </w:tc>
        <w:tc>
          <w:tcPr>
            <w:shd w:fill="fff2cc" w:val="clear"/>
          </w:tcPr>
          <w:p w:rsidR="00000000" w:rsidDel="00000000" w:rsidP="00000000" w:rsidRDefault="00000000" w:rsidRPr="00000000" w14:paraId="000000DB">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Introduction + Major Parties</w:t>
            </w:r>
          </w:p>
        </w:tc>
      </w:tr>
      <w:tr>
        <w:trPr>
          <w:cantSplit w:val="0"/>
          <w:tblHeader w:val="0"/>
        </w:trPr>
        <w:tc>
          <w:tcPr/>
          <w:p w:rsidR="00000000" w:rsidDel="00000000" w:rsidP="00000000" w:rsidRDefault="00000000" w:rsidRPr="00000000" w14:paraId="000000DC">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May 16th, at 11:59 pm</w:t>
            </w:r>
            <w:r w:rsidDel="00000000" w:rsidR="00000000" w:rsidRPr="00000000">
              <w:rPr>
                <w:rtl w:val="0"/>
              </w:rPr>
            </w:r>
          </w:p>
        </w:tc>
        <w:tc>
          <w:tcPr>
            <w:shd w:fill="fff2cc" w:val="clear"/>
          </w:tcPr>
          <w:p w:rsidR="00000000" w:rsidDel="00000000" w:rsidP="00000000" w:rsidRDefault="00000000" w:rsidRPr="00000000" w14:paraId="000000DD">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 Involvement + Possible Solutions</w:t>
            </w:r>
          </w:p>
        </w:tc>
        <w:tc>
          <w:tcPr>
            <w:shd w:fill="fff2cc" w:val="clear"/>
          </w:tcPr>
          <w:p w:rsidR="00000000" w:rsidDel="00000000" w:rsidP="00000000" w:rsidRDefault="00000000" w:rsidRPr="00000000" w14:paraId="000000DE">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Timeline + Evaluation of Previous Attempts to Resolve the Issue</w:t>
            </w:r>
          </w:p>
        </w:tc>
      </w:tr>
      <w:tr>
        <w:trPr>
          <w:cantSplit w:val="0"/>
          <w:tblHeader w:val="0"/>
        </w:trPr>
        <w:tc>
          <w:tcPr/>
          <w:p w:rsidR="00000000" w:rsidDel="00000000" w:rsidP="00000000" w:rsidRDefault="00000000" w:rsidRPr="00000000" w14:paraId="000000DF">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23rd, at 11:59 pm</w:t>
            </w:r>
          </w:p>
        </w:tc>
        <w:tc>
          <w:tcPr>
            <w:shd w:fill="fff2cc" w:val="clear"/>
          </w:tcPr>
          <w:p w:rsidR="00000000" w:rsidDel="00000000" w:rsidP="00000000" w:rsidRDefault="00000000" w:rsidRPr="00000000" w14:paraId="000000E0">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Appendix</w:t>
            </w:r>
          </w:p>
        </w:tc>
        <w:tc>
          <w:tcPr>
            <w:shd w:fill="fff2cc" w:val="clear"/>
          </w:tcPr>
          <w:p w:rsidR="00000000" w:rsidDel="00000000" w:rsidP="00000000" w:rsidRDefault="00000000" w:rsidRPr="00000000" w14:paraId="000000E1">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Link to SDGs</w:t>
            </w:r>
          </w:p>
        </w:tc>
      </w:tr>
    </w:tbl>
    <w:p w:rsidR="00000000" w:rsidDel="00000000" w:rsidP="00000000" w:rsidRDefault="00000000" w:rsidRPr="00000000" w14:paraId="000000E2">
      <w:pPr>
        <w:rPr/>
        <w:sectPr>
          <w:headerReference r:id="rId16" w:type="default"/>
          <w:footerReference r:id="rId17" w:type="default"/>
          <w:type w:val="nextPage"/>
          <w:pgSz w:h="15840" w:w="12240" w:orient="portrait"/>
          <w:pgMar w:bottom="1440" w:top="1440" w:left="1440" w:right="1440" w:header="0" w:footer="720"/>
          <w:pgNumType w:start="1"/>
        </w:sectPr>
      </w:pPr>
      <w:r w:rsidDel="00000000" w:rsidR="00000000" w:rsidRPr="00000000">
        <w:rPr>
          <w:rtl w:val="0"/>
        </w:rPr>
      </w:r>
    </w:p>
    <w:p w:rsidR="00000000" w:rsidDel="00000000" w:rsidP="00000000" w:rsidRDefault="00000000" w:rsidRPr="00000000" w14:paraId="000000E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8" w:type="default"/>
          <w:footerReference r:id="rId19" w:type="default"/>
          <w:type w:val="nextPage"/>
          <w:pgSz w:h="15840" w:w="12240" w:orient="portrait"/>
          <w:pgMar w:bottom="1440" w:top="1440" w:left="1440" w:right="1440" w:header="0" w:footer="720"/>
          <w:pgNumType w:start="1"/>
        </w:sectPr>
      </w:pPr>
      <w:bookmarkStart w:colFirst="0" w:colLast="0" w:name="_s7h6vj6f80ea" w:id="3"/>
      <w:bookmarkEnd w:id="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Example</w:t>
      </w:r>
      <w:r w:rsidDel="00000000" w:rsidR="00000000" w:rsidRPr="00000000">
        <w:rPr>
          <w:rtl w:val="0"/>
        </w:rPr>
      </w:r>
    </w:p>
    <w:p w:rsidR="00000000" w:rsidDel="00000000" w:rsidP="00000000" w:rsidRDefault="00000000" w:rsidRPr="00000000" w14:paraId="000000E4">
      <w:pPr>
        <w:widowControl w:val="0"/>
        <w:spacing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International Children’s Emergency Fund (UNICEF)</w:t>
      </w:r>
    </w:p>
    <w:p w:rsidR="00000000" w:rsidDel="00000000" w:rsidP="00000000" w:rsidRDefault="00000000" w:rsidRPr="00000000" w14:paraId="000000E5">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Combating the recruitment and exploitation of children by armed groups and criminal organizations</w:t>
      </w:r>
    </w:p>
    <w:p w:rsidR="00000000" w:rsidDel="00000000" w:rsidP="00000000" w:rsidRDefault="00000000" w:rsidRPr="00000000" w14:paraId="000000E6">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Saksham Seth &amp; Sofia Rios</w:t>
      </w:r>
    </w:p>
    <w:p w:rsidR="00000000" w:rsidDel="00000000" w:rsidP="00000000" w:rsidRDefault="00000000" w:rsidRPr="00000000" w14:paraId="000000E7">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International Children’s Emergency Fund</w:t>
      </w:r>
    </w:p>
    <w:p w:rsidR="00000000" w:rsidDel="00000000" w:rsidP="00000000" w:rsidRDefault="00000000" w:rsidRPr="00000000" w14:paraId="000000E8">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9">
      <w:pPr>
        <w:widowControl w:val="0"/>
        <w:spacing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716082" cy="3224213"/>
            <wp:effectExtent b="0" l="0" r="0" t="0"/>
            <wp:docPr id="5"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5716082" cy="3224213"/>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widowControl w:val="0"/>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"Medications." Freepik, 2020, https://www.freepik.com/free-photo/medications_5095604.htm. Accessed 19 May 2025.</w:t>
      </w:r>
      <w:r w:rsidDel="00000000" w:rsidR="00000000" w:rsidRPr="00000000">
        <w:rPr>
          <w:rtl w:val="0"/>
        </w:rPr>
      </w:r>
    </w:p>
    <w:p w:rsidR="00000000" w:rsidDel="00000000" w:rsidP="00000000" w:rsidRDefault="00000000" w:rsidRPr="00000000" w14:paraId="000000EC">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E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regulating access to controlled drugs for medical purposes is multifaceted and complex. The consequences of access to drugs for medical purposes include increased accessibility to dangerous substances, risk of misuse and addiction, negative side effects, and diversion. While medically controlled drugs such as fentanyl, hydromorphone, meperidine, methadone, or morphine can be necessary for managing pain and other symptoms, they also carry a high risk of substance use disorder and addiction. Furthermore, the prolonged use of controlled drugs can lead to physical and psychological dependence, making it challenging for patients to cease their use (“Controlled Substances Agreement - Students”). Therefore, as many countries prioritize criminal justice and drug control measures, they are restricting the use of controlled substances for medical purposes (as well as any possession of drugs) as an </w:t>
      </w:r>
      <w:r w:rsidDel="00000000" w:rsidR="00000000" w:rsidRPr="00000000">
        <w:rPr>
          <w:rFonts w:ascii="Century Gothic" w:cs="Century Gothic" w:eastAsia="Century Gothic" w:hAnsi="Century Gothic"/>
          <w:rtl w:val="0"/>
        </w:rPr>
        <w:t xml:space="preserve">attempt</w:t>
      </w:r>
      <w:r w:rsidDel="00000000" w:rsidR="00000000" w:rsidRPr="00000000">
        <w:rPr>
          <w:rFonts w:ascii="Century Gothic" w:cs="Century Gothic" w:eastAsia="Century Gothic" w:hAnsi="Century Gothic"/>
          <w:rtl w:val="0"/>
        </w:rPr>
        <w:t xml:space="preserve"> to diminish the use of non-medical drugs.  However, this process undermines the needs of those individuals with chronic illnesses or who have undergone surgery and have benefited from the use of these prescriptions during their treatment (Burke-Shyne et al.). According to World Health Organization (WHO) statistics, only 6 million out of the 40 million people in need of palliative care each year receive it due to unnecessarily restrictive regulatory barriers (WHO). The World Health Organization’s (WHO) Model List of Essential Medicines includes 12 internationally controlled substances such as morphine, diazepam, and methadone (“WHO Model Lists of Essential Medicines”). </w:t>
      </w:r>
    </w:p>
    <w:p w:rsidR="00000000" w:rsidDel="00000000" w:rsidP="00000000" w:rsidRDefault="00000000" w:rsidRPr="00000000" w14:paraId="000000E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F0">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These medicines are essential to many patients’ treatment, however, many have denied them and continue to live in pain. Furthermore, the criminalization of drugs for medical purposes has created an opportunity for a black market of illegal drugs to develop, leading to patients finding alternative, and often dangerous, ways to receive treatment. Patients turning to illegal methods to purchase these drugs have resulted in drug addiction, overdose, and numerous health risks (Manfredi). In summary, the consequences of access to controlled drugs for medical purposes are dangerous and could perpetuate the misuse of drugs, while on the other hand, criminalizing controlled drugs could also be detrimental to patients’ rights to access healthcare and the advances of modern science.   </w:t>
      </w:r>
      <w:r w:rsidDel="00000000" w:rsidR="00000000" w:rsidRPr="00000000">
        <w:rPr>
          <w:rtl w:val="0"/>
        </w:rPr>
      </w:r>
    </w:p>
    <w:p w:rsidR="00000000" w:rsidDel="00000000" w:rsidP="00000000" w:rsidRDefault="00000000" w:rsidRPr="00000000" w14:paraId="000000F1">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F2">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F3">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F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Addiction: </w:t>
      </w:r>
      <w:r w:rsidDel="00000000" w:rsidR="00000000" w:rsidRPr="00000000">
        <w:rPr>
          <w:rFonts w:ascii="Century Gothic" w:cs="Century Gothic" w:eastAsia="Century Gothic" w:hAnsi="Century Gothic"/>
          <w:rtl w:val="0"/>
        </w:rPr>
        <w:t xml:space="preserve">The condition of being dependent on a particular substance. Drug addiction is a relapsing disorder distinguished by irresistible drug seeking and use, regardless of the consequences it may lead to (National Institute on Drug Abuse).</w:t>
      </w:r>
    </w:p>
    <w:p w:rsidR="00000000" w:rsidDel="00000000" w:rsidP="00000000" w:rsidRDefault="00000000" w:rsidRPr="00000000" w14:paraId="000000F5">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Overdose: </w:t>
      </w:r>
      <w:r w:rsidDel="00000000" w:rsidR="00000000" w:rsidRPr="00000000">
        <w:rPr>
          <w:rFonts w:ascii="Century Gothic" w:cs="Century Gothic" w:eastAsia="Century Gothic" w:hAnsi="Century Gothic"/>
          <w:rtl w:val="0"/>
        </w:rPr>
        <w:t xml:space="preserve">Taking more than the prescribed/recommended amount of a substance, usually a medicine or drug. This ingestion overwhelms the body and could result in life-threatening consequences, depending on the amount taken.</w:t>
      </w:r>
    </w:p>
    <w:p w:rsidR="00000000" w:rsidDel="00000000" w:rsidP="00000000" w:rsidRDefault="00000000" w:rsidRPr="00000000" w14:paraId="000000F7">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Dependence: </w:t>
      </w:r>
      <w:r w:rsidDel="00000000" w:rsidR="00000000" w:rsidRPr="00000000">
        <w:rPr>
          <w:rFonts w:ascii="Century Gothic" w:cs="Century Gothic" w:eastAsia="Century Gothic" w:hAnsi="Century Gothic"/>
          <w:rtl w:val="0"/>
        </w:rPr>
        <w:t xml:space="preserve">Heavily relying on something to continue before being exposed to that specific thing. For example, drug dependence refers to a person depending on the consumption of drugs to an extreme level and on a regular basis in order to function normally. Developing a dependence on drugs will have many negative impacts on the individual's life in various aspects.</w:t>
      </w:r>
    </w:p>
    <w:p w:rsidR="00000000" w:rsidDel="00000000" w:rsidP="00000000" w:rsidRDefault="00000000" w:rsidRPr="00000000" w14:paraId="000000F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Off-label Use: </w:t>
      </w:r>
      <w:r w:rsidDel="00000000" w:rsidR="00000000" w:rsidRPr="00000000">
        <w:rPr>
          <w:rFonts w:ascii="Century Gothic" w:cs="Century Gothic" w:eastAsia="Century Gothic" w:hAnsi="Century Gothic"/>
          <w:rtl w:val="0"/>
        </w:rPr>
        <w:t xml:space="preserve">The use of prescribed drugs for a purpose other than what they were indicated for, such as a different dosage.</w:t>
      </w:r>
      <w:r w:rsidDel="00000000" w:rsidR="00000000" w:rsidRPr="00000000">
        <w:rPr>
          <w:rtl w:val="0"/>
        </w:rPr>
      </w:r>
    </w:p>
    <w:p w:rsidR="00000000" w:rsidDel="00000000" w:rsidP="00000000" w:rsidRDefault="00000000" w:rsidRPr="00000000" w14:paraId="000000F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Prescription Drugs: </w:t>
      </w:r>
      <w:r w:rsidDel="00000000" w:rsidR="00000000" w:rsidRPr="00000000">
        <w:rPr>
          <w:rFonts w:ascii="Century Gothic" w:cs="Century Gothic" w:eastAsia="Century Gothic" w:hAnsi="Century Gothic"/>
          <w:rtl w:val="0"/>
        </w:rPr>
        <w:t xml:space="preserve">A medicine that is only available to clients with the written instruction of an authorized healthcare professional (Therapeutic Goods Administration).</w:t>
      </w:r>
    </w:p>
    <w:p w:rsidR="00000000" w:rsidDel="00000000" w:rsidP="00000000" w:rsidRDefault="00000000" w:rsidRPr="00000000" w14:paraId="000000F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Diversion: </w:t>
      </w:r>
      <w:r w:rsidDel="00000000" w:rsidR="00000000" w:rsidRPr="00000000">
        <w:rPr>
          <w:rFonts w:ascii="Century Gothic" w:cs="Century Gothic" w:eastAsia="Century Gothic" w:hAnsi="Century Gothic"/>
          <w:rtl w:val="0"/>
        </w:rPr>
        <w:t xml:space="preserve">The illegal distribution or use of prescription drugs for other purposes than those intended by the prescriber. Prescription drug diversion could occur at any time as prescription drugs are transported from the manufacturer to wholesale distributors, to pharmacies, or to the client (Department of Health and Human Services).</w:t>
      </w:r>
    </w:p>
    <w:p w:rsidR="00000000" w:rsidDel="00000000" w:rsidP="00000000" w:rsidRDefault="00000000" w:rsidRPr="00000000" w14:paraId="000000FF">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War on Drugs</w:t>
      </w:r>
      <w:r w:rsidDel="00000000" w:rsidR="00000000" w:rsidRPr="00000000">
        <w:rPr>
          <w:rFonts w:ascii="Century Gothic" w:cs="Century Gothic" w:eastAsia="Century Gothic" w:hAnsi="Century Gothic"/>
          <w:rtl w:val="0"/>
        </w:rPr>
        <w:t xml:space="preserve">: The initiative of the United States Government to battle illegal drug use. Under the control of former US president Richard Nixon, the consequences for using illicit drugs were aggravated, as he stated that drug abuse was “public enemy number one”(Britannica).</w:t>
      </w:r>
    </w:p>
    <w:p w:rsidR="00000000" w:rsidDel="00000000" w:rsidP="00000000" w:rsidRDefault="00000000" w:rsidRPr="00000000" w14:paraId="0000010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2">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Psychoactive Drugs: </w:t>
      </w:r>
      <w:r w:rsidDel="00000000" w:rsidR="00000000" w:rsidRPr="00000000">
        <w:rPr>
          <w:rFonts w:ascii="Century Gothic" w:cs="Century Gothic" w:eastAsia="Century Gothic" w:hAnsi="Century Gothic"/>
          <w:rtl w:val="0"/>
        </w:rPr>
        <w:t xml:space="preserve">Substances that have an impact on the mental process, triggering changes in behavior, mood, feeling, thoughts, etc. Some examples of psychoactive drugs are caffeine, nicotine, heroin, and marijuana/cannabis. Psychoactive drugs are also known as psychotropic drugs.</w:t>
      </w:r>
      <w:r w:rsidDel="00000000" w:rsidR="00000000" w:rsidRPr="00000000">
        <w:rPr>
          <w:rtl w:val="0"/>
        </w:rPr>
      </w:r>
    </w:p>
    <w:p w:rsidR="00000000" w:rsidDel="00000000" w:rsidP="00000000" w:rsidRDefault="00000000" w:rsidRPr="00000000" w14:paraId="00000103">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Decriminalization: </w:t>
      </w:r>
      <w:r w:rsidDel="00000000" w:rsidR="00000000" w:rsidRPr="00000000">
        <w:rPr>
          <w:rFonts w:ascii="Century Gothic" w:cs="Century Gothic" w:eastAsia="Century Gothic" w:hAnsi="Century Gothic"/>
          <w:rtl w:val="0"/>
        </w:rPr>
        <w:t xml:space="preserve">Changing the laws with the aim of turning something that used to be illegal into a legal act.</w:t>
      </w:r>
    </w:p>
    <w:p w:rsidR="00000000" w:rsidDel="00000000" w:rsidP="00000000" w:rsidRDefault="00000000" w:rsidRPr="00000000" w14:paraId="00000105">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Cannabis: </w:t>
      </w:r>
      <w:r w:rsidDel="00000000" w:rsidR="00000000" w:rsidRPr="00000000">
        <w:rPr>
          <w:rFonts w:ascii="Century Gothic" w:cs="Century Gothic" w:eastAsia="Century Gothic" w:hAnsi="Century Gothic"/>
          <w:rtl w:val="0"/>
        </w:rPr>
        <w:t xml:space="preserve">Also known as marijuana</w:t>
      </w:r>
      <w:r w:rsidDel="00000000" w:rsidR="00000000" w:rsidRPr="00000000">
        <w:rPr>
          <w:rFonts w:ascii="Century Gothic" w:cs="Century Gothic" w:eastAsia="Century Gothic" w:hAnsi="Century Gothic"/>
          <w:rtl w:val="0"/>
        </w:rPr>
        <w:t xml:space="preserve">, cannabis is produced from the flowers or dried leaves of the </w:t>
      </w:r>
      <w:r w:rsidDel="00000000" w:rsidR="00000000" w:rsidRPr="00000000">
        <w:rPr>
          <w:rFonts w:ascii="Century Gothic" w:cs="Century Gothic" w:eastAsia="Century Gothic" w:hAnsi="Century Gothic"/>
          <w:i w:val="1"/>
          <w:iCs w:val="1"/>
          <w:rtl w:val="0"/>
        </w:rPr>
        <w:t xml:space="preserve">Cannabis Sativa </w:t>
      </w:r>
      <w:r w:rsidDel="00000000" w:rsidR="00000000" w:rsidRPr="00000000">
        <w:rPr>
          <w:rFonts w:ascii="Century Gothic" w:cs="Century Gothic" w:eastAsia="Century Gothic" w:hAnsi="Century Gothic"/>
          <w:rtl w:val="0"/>
        </w:rPr>
        <w:t xml:space="preserve">or </w:t>
      </w:r>
      <w:r w:rsidDel="00000000" w:rsidR="00000000" w:rsidRPr="00000000">
        <w:rPr>
          <w:rFonts w:ascii="Century Gothic" w:cs="Century Gothic" w:eastAsia="Century Gothic" w:hAnsi="Century Gothic"/>
          <w:i w:val="1"/>
          <w:iCs w:val="1"/>
          <w:rtl w:val="0"/>
        </w:rPr>
        <w:t xml:space="preserve">Cannabis Indica </w:t>
      </w:r>
      <w:r w:rsidDel="00000000" w:rsidR="00000000" w:rsidRPr="00000000">
        <w:rPr>
          <w:rFonts w:ascii="Century Gothic" w:cs="Century Gothic" w:eastAsia="Century Gothic" w:hAnsi="Century Gothic"/>
          <w:rtl w:val="0"/>
        </w:rPr>
        <w:t xml:space="preserve">plant. Cannabis contains chemicals such as cannabinoids that cause drug-like effects throughout the central nervous system and immune system. Through medical use, cannabis is commonly used to treat cancer symptoms or side effects such as pain, vomiting, and cachexia (loss of muscle mass and body weight) (NCI Dictionary of Cancer Terms).</w:t>
      </w:r>
    </w:p>
    <w:p w:rsidR="00000000" w:rsidDel="00000000" w:rsidP="00000000" w:rsidRDefault="00000000" w:rsidRPr="00000000" w14:paraId="00000107">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Opioid: </w:t>
      </w:r>
      <w:r w:rsidDel="00000000" w:rsidR="00000000" w:rsidRPr="00000000">
        <w:rPr>
          <w:rFonts w:ascii="Century Gothic" w:cs="Century Gothic" w:eastAsia="Century Gothic" w:hAnsi="Century Gothic"/>
          <w:rtl w:val="0"/>
        </w:rPr>
        <w:t xml:space="preserve">A type of drug that is derived from poppy seeds and whose main function is to block severe pain (National Institute on Drug Abuse). Even though opioids are mostly legal around the globe and doctors usually prescribe them for patients undergoing intense pain, they have significantly contributed to the number of deaths due to overdose. “In 2021, 45 people died each day from a prescription opioid overdose, totaling nearly 17,000 deaths” (Centers for Disease Control and Prevention).</w:t>
      </w:r>
    </w:p>
    <w:p w:rsidR="00000000" w:rsidDel="00000000" w:rsidP="00000000" w:rsidRDefault="00000000" w:rsidRPr="00000000" w14:paraId="0000010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Controlled Drug: </w:t>
      </w:r>
      <w:r w:rsidDel="00000000" w:rsidR="00000000" w:rsidRPr="00000000">
        <w:rPr>
          <w:rFonts w:ascii="Century Gothic" w:cs="Century Gothic" w:eastAsia="Century Gothic" w:hAnsi="Century Gothic"/>
          <w:rtl w:val="0"/>
        </w:rPr>
        <w:t xml:space="preserve">A drug whose possession or use is controlled by a professional in the medical field (through a prescription) or the government (through laws and regulations) to prevent people from developing an addiction to it.</w:t>
      </w:r>
      <w:r w:rsidDel="00000000" w:rsidR="00000000" w:rsidRPr="00000000">
        <w:rPr>
          <w:rtl w:val="0"/>
        </w:rPr>
      </w:r>
    </w:p>
    <w:p w:rsidR="00000000" w:rsidDel="00000000" w:rsidP="00000000" w:rsidRDefault="00000000" w:rsidRPr="00000000" w14:paraId="0000010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Palliative Care: </w:t>
      </w:r>
      <w:r w:rsidDel="00000000" w:rsidR="00000000" w:rsidRPr="00000000">
        <w:rPr>
          <w:rFonts w:ascii="Century Gothic" w:cs="Century Gothic" w:eastAsia="Century Gothic" w:hAnsi="Century Gothic"/>
          <w:rtl w:val="0"/>
        </w:rPr>
        <w:t xml:space="preserve">A specialized form of treatment for patients living with a serious illness, such as heart failure or cancer. Palliative care focuses on optimizing the quality of life of these patients and minimizing pain. However, palliative care can also be provided along with treatment to attempt to cure a patient’s illness (National Institute on Aging). Medical Cannabis (MC) is commonly used among palliative patients to address multiple symptoms such as reducing pain, fatigue, anxiety, and depression (Annals of Palliative Medicine).</w:t>
      </w:r>
    </w:p>
    <w:p w:rsidR="00000000" w:rsidDel="00000000" w:rsidP="00000000" w:rsidRDefault="00000000" w:rsidRPr="00000000" w14:paraId="0000010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Hospice Care: </w:t>
      </w:r>
      <w:r w:rsidDel="00000000" w:rsidR="00000000" w:rsidRPr="00000000">
        <w:rPr>
          <w:rFonts w:ascii="Century Gothic" w:cs="Century Gothic" w:eastAsia="Century Gothic" w:hAnsi="Century Gothic"/>
          <w:rtl w:val="0"/>
        </w:rPr>
        <w:t xml:space="preserve">Targeted towards patients likely reaching the end of life once during a serious illness might not be possible. A patient receiving hospice care understands their illness is not responding to medical care. Therefore, in hospice care attempts to cure the illness are stopped, focusing on comprehensive comfort care and support for the family (National Institute on Aging). Many hospice patients are provided opioids such as oxycodone for pain relief (Government Accountability Office).</w:t>
      </w:r>
    </w:p>
    <w:p w:rsidR="00000000" w:rsidDel="00000000" w:rsidP="00000000" w:rsidRDefault="00000000" w:rsidRPr="00000000" w14:paraId="0000010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0">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11">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12">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11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 </w:t>
      </w:r>
    </w:p>
    <w:p w:rsidR="00000000" w:rsidDel="00000000" w:rsidP="00000000" w:rsidRDefault="00000000" w:rsidRPr="00000000" w14:paraId="0000011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most controversial aspect is the different perspectives that exist in regard to the issue; while certain nations may allow a vast number of drugs in the medical field, other countries may allow none. This decision can be influenced by multiple factors, such as low-income countries not having access to the drug, countries that have high rates of drug-related deaths, the potential of drug misuse, and the number of patients requiring a controlled substance for medical purposes, among others. If a citizen who is ill requires intensive treatment utilizing controlled drugs, the country in which they are will directly impact their accessibility to the drug. On one hand, many believe that the use of controlled drugs should be limited in order to avoid the diversion and misuse of drugs. However, this leaves the patient's life at risk, considering it’s very likely that they won’t have access to the required substance in order to cure the particular disease. Consequently, it is crucial to establish well-thought-out regulations to control drugs in the medical field, which are applied at a global level. </w:t>
      </w:r>
    </w:p>
    <w:p w:rsidR="00000000" w:rsidDel="00000000" w:rsidP="00000000" w:rsidRDefault="00000000" w:rsidRPr="00000000" w14:paraId="00000115">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Regulatory Challenges and Diversion of Drugs</w:t>
      </w:r>
    </w:p>
    <w:p w:rsidR="00000000" w:rsidDel="00000000" w:rsidP="00000000" w:rsidRDefault="00000000" w:rsidRPr="00000000" w14:paraId="0000011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estimated 60 million people engaged in non-medical opioid use in 2021, 31.5 million of whom used opiates (mainly heroin).” (UNODC) This unsettling number highlights the urgent need to reinforce the way drugs are controlled, to avoid as many misuses as possible.</w:t>
      </w:r>
      <w:r w:rsidDel="00000000" w:rsidR="00000000" w:rsidRPr="00000000">
        <w:rPr>
          <w:rFonts w:ascii="Century Gothic" w:cs="Century Gothic" w:eastAsia="Century Gothic" w:hAnsi="Century Gothic"/>
          <w:rtl w:val="0"/>
        </w:rPr>
        <w:t xml:space="preserve"> The drugs that are most commonly diverted worldwide belong to different categories, which include opioids like fentanyl, anesthetics like ketamine and propofol, and antipsychotics like olanzapine. (National Library of Medicine) The aforementioned classes of drugs are all used in the medical field for multiple purposes. Opioids and anesthetics are mainly used for treating severe pain, while antipsychotics are used for treating psychotic symptoms. Drugs that are diverted are usually obtained from a family member or friend (who is receiving the prescribed drug legally). Drug diversion poses a major risk due to the fact that the source diverting the drug isn’t authorized to do so, and drug prescription may only be carried out by a qualified health professional, due to the consequences it can lead to. To ensure the decrease of the diversion of drugs and enforcement of regulations, many actions have been taken in the past, such as </w:t>
      </w:r>
      <w:r w:rsidDel="00000000" w:rsidR="00000000" w:rsidRPr="00000000">
        <w:rPr>
          <w:rFonts w:ascii="Century Gothic" w:cs="Century Gothic" w:eastAsia="Century Gothic" w:hAnsi="Century Gothic"/>
          <w:rtl w:val="0"/>
        </w:rPr>
        <w:t xml:space="preserve">three conventions</w:t>
      </w:r>
      <w:r w:rsidDel="00000000" w:rsidR="00000000" w:rsidRPr="00000000">
        <w:rPr>
          <w:rFonts w:ascii="Century Gothic" w:cs="Century Gothic" w:eastAsia="Century Gothic" w:hAnsi="Century Gothic"/>
          <w:rtl w:val="0"/>
        </w:rPr>
        <w:t xml:space="preserve">, however, the issue still persists.</w:t>
      </w:r>
    </w:p>
    <w:p w:rsidR="00000000" w:rsidDel="00000000" w:rsidP="00000000" w:rsidRDefault="00000000" w:rsidRPr="00000000" w14:paraId="0000011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Role of Healthcare Professionals</w:t>
      </w:r>
    </w:p>
    <w:p w:rsidR="00000000" w:rsidDel="00000000" w:rsidP="00000000" w:rsidRDefault="00000000" w:rsidRPr="00000000" w14:paraId="0000011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role of healthcare professionals is crucial regarding the issue of the control of access to drugs and their consequences. While professionals in diverse medical fields can have different prescriptive authorities (usually varying depending on the country), ultimately, each professional is responsible for the job of prescribing drugs, which encompasses a range of duties, such as, ensuring that they are complying with every safety measure and legal regulation to optimize the patients’ well being and guarantee an effective treatment. (National Library of Medicine) General safety measures include; identifying risk factors within their patients (for example patients with drug dependency issues, mental health issues, and additional care requirements, among others), communicating with the patient to ensure transparency, accurately identifying the type of drug and dose that the patient requires and safekeeping of the drugs in order to avoid theft which could potentially result in drug diversion or misuse. Prescribers should commit to their role obligations in order to perform their jobs adequately, especially considering the possible consequences of imprecise prescription, given that the prescription of controlled substances is far more serious and sensitive in comparison to the prescription of regular medicines. (Medical Council Joint Guidance)</w:t>
      </w:r>
    </w:p>
    <w:p w:rsidR="00000000" w:rsidDel="00000000" w:rsidP="00000000" w:rsidRDefault="00000000" w:rsidRPr="00000000" w14:paraId="0000011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Health Consequences</w:t>
      </w:r>
    </w:p>
    <w:p w:rsidR="00000000" w:rsidDel="00000000" w:rsidP="00000000" w:rsidRDefault="00000000" w:rsidRPr="00000000" w14:paraId="0000011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function of controlled drugs in the medical field is to treat patients with severe illnesses, prevent disease, help decrease the amount of pain, and destroy cells in chemotherapy, among others. Nevertheless, these </w:t>
      </w:r>
      <w:r w:rsidDel="00000000" w:rsidR="00000000" w:rsidRPr="00000000">
        <w:rPr>
          <w:rFonts w:ascii="Century Gothic" w:cs="Century Gothic" w:eastAsia="Century Gothic" w:hAnsi="Century Gothic"/>
          <w:rtl w:val="0"/>
        </w:rPr>
        <w:t xml:space="preserve">functions can be completely reversed if the patient develops a dependence on a drug</w:t>
      </w:r>
      <w:r w:rsidDel="00000000" w:rsidR="00000000" w:rsidRPr="00000000">
        <w:rPr>
          <w:rFonts w:ascii="Century Gothic" w:cs="Century Gothic" w:eastAsia="Century Gothic" w:hAnsi="Century Gothic"/>
          <w:rtl w:val="0"/>
        </w:rPr>
        <w:t xml:space="preserve">, instead of helping the drug complete its function and therefore improving the patient’s treatment, worsening it by making it little to no effective and causing negative side effects. This addiction can lead to severe health consequences since the patient’s body isn’t able to handle such a large dose (in the case of overdose) or such frequent intakes (in the case of developing a dependency). The health consequences vary and are characterized depending on the specific drug being misused. “Worldwide, about 600,000 deaths were attributable to drug use in 2019. Close to 80% of these deaths are related to opioids, with about 25% of those deaths caused by opioid overdose.” (World Health Organization) Considering that opioids are one of the most commonly abused prescription drugs, potential symptoms of opioid overdose are losing consciousness, being unable/having difficulties to breathe, and being unresponsive. (American Addiction Centers) These symptoms can develop into grave health consequences, for instance, seizures, hypoventilation, and central nervous system depression, which could result in death.  (National Library of Medicine)</w:t>
      </w:r>
    </w:p>
    <w:p w:rsidR="00000000" w:rsidDel="00000000" w:rsidP="00000000" w:rsidRDefault="00000000" w:rsidRPr="00000000" w14:paraId="0000011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12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r w:rsidDel="00000000" w:rsidR="00000000" w:rsidRPr="00000000">
        <w:rPr>
          <w:rtl w:val="0"/>
        </w:rPr>
      </w:r>
    </w:p>
    <w:p w:rsidR="00000000" w:rsidDel="00000000" w:rsidP="00000000" w:rsidRDefault="00000000" w:rsidRPr="00000000" w14:paraId="0000012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In 2021, over 75% of the drug overdose deaths (nearly 107,000 in total) in the US involved an opioid (National Institute on Drug Abuse). After an over-prescription of opioid medications in the 1990s, many patients grew reliant on the substance. Authorities attempted to resolve this issue through a “Just Say No” policy, where doctors drastically diminished the prescription of the substance. As a result, patients turned to illicit methods to acquire substances such as fentanyl once their prescription was cut off or became too expensive, which further developed the opioid crisis (The Lancet Regional Health- Americas). Furthermore, as of 2023, the United States (US) was the country with the most banned prescription drugs, reaching 562. Common prescription drugs such as Diazepam, Codeine, and Tramadol are on that list (Nath). Overall, the U.S. holds a strong stance on banning addictive substances and diminishing their prescription, especially since the “War on Drugs'' initiated by President Richard Nixon in the 1960s (which many believe to be ongoing to this day). </w:t>
      </w:r>
      <w:r w:rsidDel="00000000" w:rsidR="00000000" w:rsidRPr="00000000">
        <w:rPr>
          <w:rtl w:val="0"/>
        </w:rPr>
      </w:r>
    </w:p>
    <w:p w:rsidR="00000000" w:rsidDel="00000000" w:rsidP="00000000" w:rsidRDefault="00000000" w:rsidRPr="00000000" w14:paraId="00000123">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2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Canada</w:t>
      </w:r>
    </w:p>
    <w:p w:rsidR="00000000" w:rsidDel="00000000" w:rsidP="00000000" w:rsidRDefault="00000000" w:rsidRPr="00000000" w14:paraId="0000012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Canada is one of the countries with the best access to pain relief drugs, particularly opioid analgesics such as morphine, with a significant 3090% of the available distribution of opioids for a patient in palliative care (Afsan Bhadelia et al.). The use of opioids in Canada is legal if prescribed by a licensed practitioner and used by the person for whom they are prescribed. About one in eight patients were prescribed opioids in Canada as of 2018. Prescription opioids are available in many forms in Canada, such as tablets, capsules, syrups, solutions, liquid forms for injection, transmucosal preparations, skin patches, nasal sprays, and suppositories. However, this legalization of controlled substances has begun to affect Canada negatively. In 2016–2017, opioid poisonings resulted in an average of 17 hospitalizations each day, higher than the averages in 2014–2015 (13 per day) and 2007–2008 (10 per day) (Canadian Centre on Drug Abuse and Addiction). Overall, Canada’s open stance on opioid prescription is often criticized for its varying positive and negative effects on public health.</w:t>
      </w:r>
    </w:p>
    <w:p w:rsidR="00000000" w:rsidDel="00000000" w:rsidP="00000000" w:rsidRDefault="00000000" w:rsidRPr="00000000" w14:paraId="00000126">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Portugal</w:t>
      </w:r>
    </w:p>
    <w:p w:rsidR="00000000" w:rsidDel="00000000" w:rsidP="00000000" w:rsidRDefault="00000000" w:rsidRPr="00000000" w14:paraId="0000012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Portugal’s decriminalization of drugs has been internationally recognized and praised for its non-discriminatory treatment system. In the year 2000, Portugal decriminalized the possession, acquisition, and public use of all drugs. This approach shifted the focus to the public health crisis and away from public order. Since doing so, it has yielded positive results and Portugal has gone from having an estimated 1% of the population addicted to heroin to having one of the lowest drug addiction rates in the European Union (EU) (Naina Bajekal).</w:t>
      </w:r>
    </w:p>
    <w:p w:rsidR="00000000" w:rsidDel="00000000" w:rsidP="00000000" w:rsidRDefault="00000000" w:rsidRPr="00000000" w14:paraId="0000012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12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two days, I had agonizing pain in both the back and front of my body. I thought I was going to die. The doctor said that there was no need to medicate my pain, that it was just a hematoma, and that the pain would go away by itself. I was screaming all through the night," states an Indian man describing his stay in hospital immediately after a construction site accident in which he sustained spinal cord trauma (Human Rights Watch). In 1985, India altered its policy on narcotics in line with the 1961 UN Single Convention on Narcotic Drugs. From 1985 to 1997, the consumption of medical morphine in India dropped by a drastic 97%. Patients suffer daily from the lack of pain management medications, being prescribed lighter medicines such as paracetamol for terminal diseases like Cancer. This is nowhere near enough and is considered a severe healthcare crisis (VICE). This issue has caused many to advocate for a law reform on the decriminalization of certain drugs.</w:t>
      </w:r>
    </w:p>
    <w:p w:rsidR="00000000" w:rsidDel="00000000" w:rsidP="00000000" w:rsidRDefault="00000000" w:rsidRPr="00000000" w14:paraId="0000012C">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2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12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has prohibited certain medical drugs, such as ketamine and CBD, labeling them as dangerous and addictive. Sleeping pills, ADHD medication, and strong painkillers are not allowed without a prescription (Mohammad Hossein Mehrolhasani et al.). Furthermore, some common cold and flu pills are banned due to concerns about their potential abuse. Instead of focusing on health care and rehabilitation, China’s strict medical drug policies emphasize prohibition and punishment, in some cases even resulting in the death penalty (UNODC Laboratory and Scientific Service Portals).</w:t>
      </w:r>
    </w:p>
    <w:p w:rsidR="00000000" w:rsidDel="00000000" w:rsidP="00000000" w:rsidRDefault="00000000" w:rsidRPr="00000000" w14:paraId="0000012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Philippines</w:t>
      </w:r>
    </w:p>
    <w:p w:rsidR="00000000" w:rsidDel="00000000" w:rsidP="00000000" w:rsidRDefault="00000000" w:rsidRPr="00000000" w14:paraId="0000013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Philippines has been heavily criticized for its brutal war on drugs, which has resulted in thousands of deaths. The campaign launched by President Rodrigo Duterte in 2016 promised to kill all drug users and dealers in the country. Police and vigilantes have been tasked with the killing of suspects involved in drug operations (The Economist). Furthermore, Duterte has gone as far as to publicly state that he will never apologize for the deaths, and his campaign is widely supported in the Philippines (Reuters). The International Criminal Court (ICC) has even launched an investigation into the operation of the killings, as the operation could constitute a crime against humanity. When involving the criminalization of drugs for medical purposes, the Philippines has banned drugs such as the use of cannabis, which can be fundamental during treatments for PTSD, anxiety, and depression (International Trade Association). </w:t>
      </w:r>
    </w:p>
    <w:p w:rsidR="00000000" w:rsidDel="00000000" w:rsidP="00000000" w:rsidRDefault="00000000" w:rsidRPr="00000000" w14:paraId="0000013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13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Office on Drugs and Crimes (UNODC) leads the global response to improve access to controlled drugs, specifically pain control medications, for medical purposes. The UNODC’s goal is to improve the accessibility of these drugs while controlling their non-medical use and diversion (“Access to Controlled Drugs for Medical Purposes (GLOK67)”).</w:t>
      </w:r>
    </w:p>
    <w:p w:rsidR="00000000" w:rsidDel="00000000" w:rsidP="00000000" w:rsidRDefault="00000000" w:rsidRPr="00000000" w14:paraId="0000013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Narcotics Control Board (INCB)</w:t>
      </w:r>
    </w:p>
    <w:p w:rsidR="00000000" w:rsidDel="00000000" w:rsidP="00000000" w:rsidRDefault="00000000" w:rsidRPr="00000000" w14:paraId="0000013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Narcotics Control Board (INCB) is an independent monitoring body that was established during the 1961 UN Single Convention and Narcotics Convention (lamija.dzigal). It aims to monitor and promote the implementation of international drug treaties, serving as a direct contact between concerned authorities. Furthermore, the INCB maintains a permanent dialogue with governments to aid them in complying with treaties, recommending rectifying measures, and holding them accountable during a treaty violation (International Narcotics Control Board).</w:t>
      </w:r>
    </w:p>
    <w:p w:rsidR="00000000" w:rsidDel="00000000" w:rsidP="00000000" w:rsidRDefault="00000000" w:rsidRPr="00000000" w14:paraId="0000013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9">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13A">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3B">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13C">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3"/>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1909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Opium Commission, the first international conference on drugs, meets in Shanghai (UNODC).</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1912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Opium Convention is the first international treaty on drugs, being passed in The Hague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1919/20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Opium Convention became part of the World War I peace treaties, leading many countries to ratify it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League of Nations as the custodian of the Opium Convention, a new treaty is passed, extending its scope to cannabis (UNODC).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5">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1931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for Limiting the Manufacture and Regulating the Distribution of Narcotic Drugs seeks to limit the supply of narcotic drugs to the portion required for medical or scientific purposes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drug control is transferred from the League of Nations to the newly formed United Nations (UN). The Commission on Narcotic Drugs (CND) is established by the UN Economic and Social Council, becoming the central policy-making body in the UN for matters concerning narcotic drugs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9">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Opium production and trade for medical and scientific practices are limited following the signing of the Opium Protocol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B">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was adopted. This convention lists all controlled substances and creates the International Narcotics Control Board (INCB). Today, the Single Convention on Narcotic Drugs is considered the cornerstone of today’s international drug control regime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is amended with a protocol for the implementation of proper prevention, treatment, and rehabilitation services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4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order to cope with the security threat posed by illegal drug trafficking in several regions, the Convention Against Illicit Traffic in Narcotic Drugs and Psychotropic Substances </w:t>
            </w:r>
            <w:r w:rsidDel="00000000" w:rsidR="00000000" w:rsidRPr="00000000">
              <w:rPr>
                <w:rFonts w:ascii="Century Gothic" w:cs="Century Gothic" w:eastAsia="Century Gothic" w:hAnsi="Century Gothic"/>
                <w:rtl w:val="0"/>
              </w:rPr>
              <w:t xml:space="preserve">is passed</w:t>
            </w:r>
            <w:r w:rsidDel="00000000" w:rsidR="00000000" w:rsidRPr="00000000">
              <w:rPr>
                <w:rFonts w:ascii="Century Gothic" w:cs="Century Gothic" w:eastAsia="Century Gothic" w:hAnsi="Century Gothic"/>
                <w:rtl w:val="0"/>
              </w:rPr>
              <w:t xml:space="preserv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Office on Drugs and Crime (UNODC) adopts its current name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First International Survey on the Availability of Opioids for Cancer Pain Management, the European Society for Medical Oncology (ESMO) and other endorsing partners issue a joint palliative care statement at the World Health Assembly supporting the successful adoption of the WHO resolution ‘Strengthening of palliative care as a component of integrated treatment throughout the life course’, calling for increased access to palliative care to relieve patients’ suffering worldwide (ESMO).</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5">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5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WHO announces a revision of the discontinued documents “Ensuring balance in national policies on controlled substances: Guidance for availability and accessibility of controlled medicines” (2011) and “WHO guidelines on the pharmacological treatment of persisting pain in children with medical illnesses” (2012). This revision aims to ensure patients with severe pain of all ages have access to effective pain control medication, including opioids when needed (WHO).</w:t>
            </w:r>
          </w:p>
        </w:tc>
      </w:tr>
    </w:tbl>
    <w:p w:rsidR="00000000" w:rsidDel="00000000" w:rsidP="00000000" w:rsidRDefault="00000000" w:rsidRPr="00000000" w14:paraId="00000157">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58">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15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access to controlled drugs for medical purposes. </w:t>
      </w:r>
    </w:p>
    <w:p w:rsidR="00000000" w:rsidDel="00000000" w:rsidP="00000000" w:rsidRDefault="00000000" w:rsidRPr="00000000" w14:paraId="0000015A">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B">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Single Convention on Narcotic Drugs, 1961</w:t>
      </w:r>
    </w:p>
    <w:p w:rsidR="00000000" w:rsidDel="00000000" w:rsidP="00000000" w:rsidRDefault="00000000" w:rsidRPr="00000000" w14:paraId="0000015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was the first international treaty created regarding drug control, which was signed in March 1961. This treaty aims to forbid the development and distribution of narcotic drugs. Furthermore, the treaty seeks to prevent drug abuse by creating four schedules in order to classify each drug based on its potential for abuse. They range from drugs that possess the most risk, as well as a higher chance of abuse and little to no medical use, to drugs that possess the least risk, as well as the lowest chance of abuse and great medical use. While this strategy of classification has been created, it hasn’t been adopted at a global level. Overall, the convention did not ban many psychotropics, due to their recent discovery, but was specifically centered on drugs that included cannabis, cocaine, or opium-like effects. </w:t>
      </w:r>
    </w:p>
    <w:p w:rsidR="00000000" w:rsidDel="00000000" w:rsidP="00000000" w:rsidRDefault="00000000" w:rsidRPr="00000000" w14:paraId="0000015D">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Psychotropic Substances, 1971</w:t>
      </w:r>
    </w:p>
    <w:p w:rsidR="00000000" w:rsidDel="00000000" w:rsidP="00000000" w:rsidRDefault="00000000" w:rsidRPr="00000000" w14:paraId="0000015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 years later, the Convention on Psychotropic Substances of 1971 was held, in which the issue of psychotropic substances was addressed. The main objective of this convention was to limit psychotropic substances, including hallucinogens, and central nervous stimulants, among others. Parties who attended the convention must ensure that they limit the use of psychoactive substances, particularly for scientific and medical use, while ensuring their availability for the aforementioned purposes. In order to manage the use of psychoactive substances, governments must comply with sharing information regarding the manufacture, import, and export of psychotropic substances, as recommended by the Economic and Social Council (ECOSOC). While the convention has been successful in decreasing the amount of psychoactive drug abuse and diversion, the problem still persists. </w:t>
      </w:r>
      <w:r w:rsidDel="00000000" w:rsidR="00000000" w:rsidRPr="00000000">
        <w:rPr>
          <w:rFonts w:ascii="Century Gothic" w:cs="Century Gothic" w:eastAsia="Century Gothic" w:hAnsi="Century Gothic"/>
          <w:rtl w:val="0"/>
        </w:rPr>
        <w:t xml:space="preserve">The treaty has been amended multiple times and continues to evolve.</w:t>
      </w:r>
      <w:r w:rsidDel="00000000" w:rsidR="00000000" w:rsidRPr="00000000">
        <w:rPr>
          <w:rtl w:val="0"/>
        </w:rPr>
      </w:r>
    </w:p>
    <w:p w:rsidR="00000000" w:rsidDel="00000000" w:rsidP="00000000" w:rsidRDefault="00000000" w:rsidRPr="00000000" w14:paraId="0000016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1">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Program on "Access to Controlled Drugs for Medical Purposes While Preventing Diversion and Abuse" (GLOK67)</w:t>
      </w:r>
    </w:p>
    <w:p w:rsidR="00000000" w:rsidDel="00000000" w:rsidP="00000000" w:rsidRDefault="00000000" w:rsidRPr="00000000" w14:paraId="0000016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Program on "Access to Controlled Drugs for Medical Purposes While Preventing Diversion and Abuse" is a collaborative program in which many organizations have shown their contribution, such as the International Narcotics Control Board (INCB), United Nations Office on Drugs and Crimes (UNODC) and World Health Organization (WHO). The aim of this program is to globally ensure that there is availability of specific drugs needed to treat patients in severe conditions, ensuring that all patients receive adequate treatment. While, at the same time, preventing the diversion of drugs leads to drug abuse across the globe. </w:t>
      </w:r>
    </w:p>
    <w:p w:rsidR="00000000" w:rsidDel="00000000" w:rsidP="00000000" w:rsidRDefault="00000000" w:rsidRPr="00000000" w14:paraId="0000016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67">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168">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Single Convention on Narcotic Drugs</w:t>
      </w:r>
    </w:p>
    <w:p w:rsidR="00000000" w:rsidDel="00000000" w:rsidP="00000000" w:rsidRDefault="00000000" w:rsidRPr="00000000" w14:paraId="00000169">
      <w:pPr>
        <w:spacing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Single Convention on Narcotic Drugs, adopted by the UN in 1961, proclaimed that “narcotic drugs… are indispensable for the relief of pain and suffering.” The convention called for countries to provide adequate amounts of narcotics to ensure their availability for medical needs. However, nearly 60 years later, this promise remains unfulfilled, especially in middle and low-income countries (Lohman, “‘Please, Do Not Make Us Suffer Any More…’”). According to the World Health Association (WHO), in September 2008, approximately 80 percent of the world's population had either none or insufficient access to treatment for moderate to severe pain, and every year tens of millions of people around the world, including around four million cancer patients and 0.8 million HIV/AIDS patients suffer from such pain without treatment</w:t>
      </w:r>
      <w:r w:rsidDel="00000000" w:rsidR="00000000" w:rsidRPr="00000000">
        <w:rPr>
          <w:rFonts w:ascii="Century Gothic" w:cs="Century Gothic" w:eastAsia="Century Gothic" w:hAnsi="Century Gothic"/>
          <w:color w:val="222222"/>
          <w:rtl w:val="0"/>
        </w:rPr>
        <w:t xml:space="preserve">.</w:t>
      </w:r>
      <w:r w:rsidDel="00000000" w:rsidR="00000000" w:rsidRPr="00000000">
        <w:rPr>
          <w:rFonts w:ascii="Century Gothic" w:cs="Century Gothic" w:eastAsia="Century Gothic" w:hAnsi="Century Gothic"/>
          <w:color w:val="222222"/>
          <w:rtl w:val="0"/>
        </w:rPr>
        <w:t xml:space="preserve"> WHO and the International Narcotics Control Board (INCB) have repeatedly reminded countries of their obligation. However, due to the lack of compliance and accountability mechanisms, progress on this issue has been stagnant worldwide.</w:t>
      </w:r>
    </w:p>
    <w:p w:rsidR="00000000" w:rsidDel="00000000" w:rsidP="00000000" w:rsidRDefault="00000000" w:rsidRPr="00000000" w14:paraId="0000016A">
      <w:pPr>
        <w:spacing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16B">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World Health Organization’s Multiple Attempts </w:t>
      </w:r>
    </w:p>
    <w:p w:rsidR="00000000" w:rsidDel="00000000" w:rsidP="00000000" w:rsidRDefault="00000000" w:rsidRPr="00000000" w14:paraId="0000016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rtl w:val="0"/>
        </w:rPr>
        <w:t xml:space="preserve">The World Health Organization (WHO) has made many attempts to resolve the issue, particularly with the intent of increasing patients’ access to controlled drugs when undergoing palliative care. For example, during the Executive Board of the World Health Organisation’s 134th session, a report composed by the secretariat on the importance of strengthening palliative care was introduced as a provisional agenda item. This report aims to address the crucial measures to address palliative care and its development with a public health approach. It highlighted that “Opioid analgesics are essential for treating moderate-to-severe pain in cancer patients and severe pain in patients with various advanced progressive non-cancerous conditions” (World Health Organization Executive Board). Additionally, in 2014, WHO successfully adopted the resolution </w:t>
      </w:r>
      <w:r w:rsidDel="00000000" w:rsidR="00000000" w:rsidRPr="00000000">
        <w:rPr>
          <w:rFonts w:ascii="Century Gothic" w:cs="Century Gothic" w:eastAsia="Century Gothic" w:hAnsi="Century Gothic"/>
          <w:rtl w:val="0"/>
        </w:rPr>
        <w:t xml:space="preserve">‘Strengthening of palliative care as a component of integrated treatment throughout the life course’ (ESMO). The resolution focused on the importance of implementing internationally controlled substances for medical and scientific purposes. Additionally, it called for an equitable implementation of controlled drugs for palliative care worldwide (Sixty-Seventh World Health Assembly). WHO has continued to make multiple attempts to resolve this issue, such as creating a WHO Model List of Essential Medicines. This list includes medicines such as morphine, a medication critical for pain management and emergency response in times of conflict. The WHO Model List of Essential Medicines highlighted the importance of the availability of these medicines as a core obligation for countries (Leyh and Gispen). However, despite the WHO’s notable attempts, the issue remains unresolved. According to the International Narcotics Control Board (INCB), in 2016, only 14% of available morphine, excluding preparations included in Schedule III of the 1961 Convention, was available in countries constituting 80% of the world population. In all, WHO’s attempts to increase access to controlled drugs for medicinal purposes are ongoing, and the UN is continuously working to address this issue. </w:t>
      </w:r>
    </w:p>
    <w:p w:rsidR="00000000" w:rsidDel="00000000" w:rsidP="00000000" w:rsidRDefault="00000000" w:rsidRPr="00000000" w14:paraId="0000016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F">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17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Aligning Regulations Among Countries </w:t>
      </w:r>
    </w:p>
    <w:p w:rsidR="00000000" w:rsidDel="00000000" w:rsidP="00000000" w:rsidRDefault="00000000" w:rsidRPr="00000000" w14:paraId="0000017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Continuously, each country has stipulated diverse rules with respect to access to controlled drugs for medical purposes, leading to significant differences in the medical field and resulting in more cases of drug addiction and other risks. Therefore, each country implementing the WHO’s guidance would ensure adequate access to controlled drugs for medical purposes while simultaneously decreasing the chances of diversion and abuse. The Single Convention on Narcotic Drugs of 1961 led to the creation of a system of organization of drugs, separating them into diverse schedules depending on characteristics such as cthe hance of abuse, medical use, and risk factors. Expanding this classification method in the medical field at an international level would result in a standardized and reliable approach to controlled substances that has been carefully thought out. </w:t>
      </w:r>
    </w:p>
    <w:p w:rsidR="00000000" w:rsidDel="00000000" w:rsidP="00000000" w:rsidRDefault="00000000" w:rsidRPr="00000000" w14:paraId="0000017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Enhancing Patient Safety</w:t>
      </w:r>
    </w:p>
    <w:p w:rsidR="00000000" w:rsidDel="00000000" w:rsidP="00000000" w:rsidRDefault="00000000" w:rsidRPr="00000000" w14:paraId="0000017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Healthcare professionals hold a crucial role when it comes to the prescription of controlled substances in the medical field. Due to the fact that the prescription of drugs is extremely critical for the patient’s health, it is essential that the professionals in charge are well-trained and suited for this role. Many cases of diversion prescription drugs emerge from the person prescribing them. Therefore, to decrease the amount of diverted drugs, medical training should be reinforced for professionals who hold this significant responsibility. They should be well aware of medications and knowledgeable about safe prescribing, in order to avoid overdose and take into consideration the prescription patterns. Healthcare professionals’ aim should be to enhance patient safety and optimize treatment results while keeping in mind the consequences and regulations of drug prescription. Additionally, medical areas should be monitored as much as possible, to fully ensure that the patient is receiving an adequate dose, in order to decrease the risk of overdosing, diverting, or misusing.</w:t>
      </w:r>
    </w:p>
    <w:p w:rsidR="00000000" w:rsidDel="00000000" w:rsidP="00000000" w:rsidRDefault="00000000" w:rsidRPr="00000000" w14:paraId="00000175">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76">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77">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178">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3, Good Health and Well-Being</w:t>
      </w:r>
    </w:p>
    <w:p w:rsidR="00000000" w:rsidDel="00000000" w:rsidP="00000000" w:rsidRDefault="00000000" w:rsidRPr="00000000" w14:paraId="00000179">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Sustainable Development Goal #3, Good Health and Well-Being, aims to promote quality, attainable healthcare for people of all ages. According to the Sustainable Development Goal Report 2023, 4.9% of the population has been pushed or further pushed into poverty by out-of-pocket payments for healthcare. Furthermore, 25 million children missed out on COVID-19 immunizations in 2021, 6 million more than in 2019. This and many more are healthcare issues being tackled by SDG #3, such as the issue of addressing the consequences of access to controlled drugs for medical purposes. This issue aims to provide good health and well-being for all through controlled medicines, relating to the main aim of SDG#3. It is the United Nations' mission to fulfill all Sustainable Development Goals by 2030. In 2024, nations will come together to discuss what will happen after this time period. In all, the SDGs are vital for global development in multiple areas, and with the issue of access to controlled drugs for medical purposes, SDG 3 is addressed by implementing good health and well-being for all.</w:t>
      </w:r>
      <w:r w:rsidDel="00000000" w:rsidR="00000000" w:rsidRPr="00000000">
        <w:rPr>
          <w:rtl w:val="0"/>
        </w:rPr>
      </w:r>
    </w:p>
    <w:p w:rsidR="00000000" w:rsidDel="00000000" w:rsidP="00000000" w:rsidRDefault="00000000" w:rsidRPr="00000000" w14:paraId="0000017A">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7B">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7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17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17E">
      <w:pPr>
        <w:widowControl w:val="0"/>
        <w:spacing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Pr>
        <w:drawing>
          <wp:inline distB="114300" distT="114300" distL="114300" distR="114300">
            <wp:extent cx="3471863" cy="2697833"/>
            <wp:effectExtent b="0" l="0" r="0" t="0"/>
            <wp:docPr descr="Drug Overdose Death Rates | National Institute on Drug Abuse (NIDA)" id="2" name="image3.jpg"/>
            <a:graphic>
              <a:graphicData uri="http://schemas.openxmlformats.org/drawingml/2006/picture">
                <pic:pic>
                  <pic:nvPicPr>
                    <pic:cNvPr descr="Drug Overdose Death Rates | National Institute on Drug Abuse (NIDA)" id="0" name="image3.jpg"/>
                    <pic:cNvPicPr preferRelativeResize="0"/>
                  </pic:nvPicPr>
                  <pic:blipFill>
                    <a:blip r:embed="rId21"/>
                    <a:srcRect b="0" l="1414" r="2626" t="0"/>
                    <a:stretch>
                      <a:fillRect/>
                    </a:stretch>
                  </pic:blipFill>
                  <pic:spPr>
                    <a:xfrm>
                      <a:off x="0" y="0"/>
                      <a:ext cx="3471863" cy="2697833"/>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is a bar graph and line chart presenting the number of overdose deaths from 1999 to 2021 due to prescription opioids. The bar chart clearly conveys an escalating number of deaths, beginning with less than 5,000 deaths in 1999 and reaching 16,706 deaths in 2021, proving a significant change. Additionally, the green and yellow lines specify whether prescription opioids were combined with other synthetic opioids or not, showing how the majority of the deaths were a result of a prescription opioid without any other opioids. (National Institute on Drug Abuse)</w:t>
      </w:r>
    </w:p>
    <w:p w:rsidR="00000000" w:rsidDel="00000000" w:rsidP="00000000" w:rsidRDefault="00000000" w:rsidRPr="00000000" w14:paraId="0000018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5">
      <w:pPr>
        <w:widowControl w:val="0"/>
        <w:spacing w:line="360" w:lineRule="auto"/>
        <w:jc w:val="both"/>
        <w:rPr>
          <w:rFonts w:ascii="Century Gothic" w:cs="Century Gothic" w:eastAsia="Century Gothic" w:hAnsi="Century Gothic"/>
          <w:highlight w:val="white"/>
        </w:rPr>
      </w:pPr>
      <w:r w:rsidDel="00000000" w:rsidR="00000000" w:rsidRPr="00000000">
        <w:rPr/>
        <w:drawing>
          <wp:inline distB="114300" distT="114300" distL="114300" distR="114300">
            <wp:extent cx="3527294" cy="2357438"/>
            <wp:effectExtent b="0" l="0" r="0" t="0"/>
            <wp:docPr id="3"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3527294" cy="2357438"/>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The image above portrays the most common stimulant (a class of drugs that increase the activity of the brain) used in each country throughout 2018. It is important to note that cocaine (represented by blue) is the most recurring color in the map. This is significant because cocaine is used within the medical field as a local anesthetic. (United Nations Office on Drugs and Crime)</w:t>
      </w:r>
    </w:p>
    <w:p w:rsidR="00000000" w:rsidDel="00000000" w:rsidP="00000000" w:rsidRDefault="00000000" w:rsidRPr="00000000" w14:paraId="00000187">
      <w:pPr>
        <w:widowControl w:val="0"/>
        <w:spacing w:line="360" w:lineRule="auto"/>
        <w:jc w:val="both"/>
        <w:rPr>
          <w:rFonts w:ascii="Century Gothic" w:cs="Century Gothic" w:eastAsia="Century Gothic" w:hAnsi="Century Gothic"/>
          <w:highlight w:val="white"/>
        </w:rPr>
      </w:pPr>
      <w:r w:rsidDel="00000000" w:rsidR="00000000" w:rsidRPr="00000000">
        <w:rPr/>
        <w:drawing>
          <wp:inline distB="114300" distT="114300" distL="114300" distR="114300">
            <wp:extent cx="3879988" cy="2881313"/>
            <wp:effectExtent b="0" l="0" r="0" t="0"/>
            <wp:docPr descr="As Evidence Mounts That 'War On Drugs' Has Failed, Harm Reduction Advocates  Call For New Policies - Health Policy Watch" id="4" name="image5.png"/>
            <a:graphic>
              <a:graphicData uri="http://schemas.openxmlformats.org/drawingml/2006/picture">
                <pic:pic>
                  <pic:nvPicPr>
                    <pic:cNvPr descr="As Evidence Mounts That 'War On Drugs' Has Failed, Harm Reduction Advocates  Call For New Policies - Health Policy Watch" id="0" name="image5.png"/>
                    <pic:cNvPicPr preferRelativeResize="0"/>
                  </pic:nvPicPr>
                  <pic:blipFill>
                    <a:blip r:embed="rId23"/>
                    <a:srcRect b="0" l="0" r="0" t="0"/>
                    <a:stretch>
                      <a:fillRect/>
                    </a:stretch>
                  </pic:blipFill>
                  <pic:spPr>
                    <a:xfrm>
                      <a:off x="0" y="0"/>
                      <a:ext cx="3879988" cy="2881313"/>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image above is a bar graph and line chart that presents the number of drug-related overdose deaths from 1999 to 2021. The bar chart clearly conveys an escalating number of deaths, beginning with less than 20,000 deaths in 1999 and reaching 106,699 deaths in 2021, proving a significant change. Additionally, the red and yellow lines specify whether they’re female or male, showcasing how males are more likely to die due to drug-related overdose. (National Institute on Drug Abuse)</w:t>
      </w:r>
    </w:p>
    <w:p w:rsidR="00000000" w:rsidDel="00000000" w:rsidP="00000000" w:rsidRDefault="00000000" w:rsidRPr="00000000" w14:paraId="00000189">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A">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B">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18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 to Controlled Drugs for Medical Purposes (GLOK67).” </w:t>
      </w:r>
      <w:r w:rsidDel="00000000" w:rsidR="00000000" w:rsidRPr="00000000">
        <w:rPr>
          <w:rFonts w:ascii="Century Gothic" w:cs="Century Gothic" w:eastAsia="Century Gothic" w:hAnsi="Century Gothic"/>
          <w:i w:val="1"/>
          <w:iCs w:val="1"/>
          <w:highlight w:val="white"/>
          <w:rtl w:val="0"/>
        </w:rPr>
        <w:t xml:space="preserve">United Nations: Office on Drugs and Crime</w:t>
      </w:r>
      <w:r w:rsidDel="00000000" w:rsidR="00000000" w:rsidRPr="00000000">
        <w:rPr>
          <w:rFonts w:ascii="Century Gothic" w:cs="Century Gothic" w:eastAsia="Century Gothic" w:hAnsi="Century Gothic"/>
          <w:highlight w:val="white"/>
          <w:rtl w:val="0"/>
        </w:rPr>
        <w:t xml:space="preserve">, 2021, www.unodc.org/unodc/es/drug-prevention-and-treatment/access-to-controlled-medicines/accessibility-medicines-availability-glok67.html. Accessed 7 Apr. 2024.</w:t>
      </w:r>
    </w:p>
    <w:p w:rsidR="00000000" w:rsidDel="00000000" w:rsidP="00000000" w:rsidRDefault="00000000" w:rsidRPr="00000000" w14:paraId="0000018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Afsan Bhadelia, et al. “Solving the Global Crisis in Access to Pain Relief: Lessons from Country Actions.” </w:t>
      </w:r>
      <w:r w:rsidDel="00000000" w:rsidR="00000000" w:rsidRPr="00000000">
        <w:rPr>
          <w:rFonts w:ascii="Century Gothic" w:cs="Century Gothic" w:eastAsia="Century Gothic" w:hAnsi="Century Gothic"/>
          <w:i w:val="1"/>
          <w:iCs w:val="1"/>
          <w:highlight w:val="white"/>
          <w:rtl w:val="0"/>
        </w:rPr>
        <w:t xml:space="preserve">American Journal of Public Health</w:t>
      </w:r>
      <w:r w:rsidDel="00000000" w:rsidR="00000000" w:rsidRPr="00000000">
        <w:rPr>
          <w:rFonts w:ascii="Century Gothic" w:cs="Century Gothic" w:eastAsia="Century Gothic" w:hAnsi="Century Gothic"/>
          <w:highlight w:val="white"/>
          <w:rtl w:val="0"/>
        </w:rPr>
        <w:t xml:space="preserve">, vol. 109, no. 1, American Public Health Association, Jan. 2019, pp. 58–60, https://doi.org/10.2105/ajph.2018.304769. Accessed 13 Apr. 2024.</w:t>
      </w:r>
    </w:p>
    <w:p w:rsidR="00000000" w:rsidDel="00000000" w:rsidP="00000000" w:rsidRDefault="00000000" w:rsidRPr="00000000" w14:paraId="0000018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Brandeis University. “The Ethics of Legalizing Medical Marijuana | Section Title | Ethical Inquiry | ENACT: The Educational Network for Active Civic Transformation.” </w:t>
      </w:r>
      <w:r w:rsidDel="00000000" w:rsidR="00000000" w:rsidRPr="00000000">
        <w:rPr>
          <w:rFonts w:ascii="Century Gothic" w:cs="Century Gothic" w:eastAsia="Century Gothic" w:hAnsi="Century Gothic"/>
          <w:i w:val="1"/>
          <w:iCs w:val="1"/>
          <w:highlight w:val="white"/>
          <w:rtl w:val="0"/>
        </w:rPr>
        <w:t xml:space="preserve">Brandeis University</w:t>
      </w:r>
      <w:r w:rsidDel="00000000" w:rsidR="00000000" w:rsidRPr="00000000">
        <w:rPr>
          <w:rFonts w:ascii="Century Gothic" w:cs="Century Gothic" w:eastAsia="Century Gothic" w:hAnsi="Century Gothic"/>
          <w:highlight w:val="white"/>
          <w:rtl w:val="0"/>
        </w:rPr>
        <w:t xml:space="preserve">, 2013, https://www.brandeis.edu/enact/archive/ethical-inquiry/2013/legalizing-marijuana.html. Accessed 7 April 2024.</w:t>
      </w:r>
    </w:p>
    <w:p w:rsidR="00000000" w:rsidDel="00000000" w:rsidP="00000000" w:rsidRDefault="00000000" w:rsidRPr="00000000" w14:paraId="0000019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Burke-Shyne, Naomi, et al. “How Drug Control Policy and Practice Undermine Access to Controlled Medicines.” </w:t>
      </w:r>
      <w:r w:rsidDel="00000000" w:rsidR="00000000" w:rsidRPr="00000000">
        <w:rPr>
          <w:rFonts w:ascii="Century Gothic" w:cs="Century Gothic" w:eastAsia="Century Gothic" w:hAnsi="Century Gothic"/>
          <w:i w:val="1"/>
          <w:iCs w:val="1"/>
          <w:highlight w:val="white"/>
          <w:rtl w:val="0"/>
        </w:rPr>
        <w:t xml:space="preserve">Health and Human Rights</w:t>
      </w:r>
      <w:r w:rsidDel="00000000" w:rsidR="00000000" w:rsidRPr="00000000">
        <w:rPr>
          <w:rFonts w:ascii="Century Gothic" w:cs="Century Gothic" w:eastAsia="Century Gothic" w:hAnsi="Century Gothic"/>
          <w:highlight w:val="white"/>
          <w:rtl w:val="0"/>
        </w:rPr>
        <w:t xml:space="preserve">, vol. 19, no. 1, 2017, pp. 237–52, www.ncbi.nlm.nih.gov/pmc/articles/PMC5473053/. Accessed 6 Apr. 2024.</w:t>
      </w:r>
    </w:p>
    <w:p w:rsidR="00000000" w:rsidDel="00000000" w:rsidP="00000000" w:rsidRDefault="00000000" w:rsidRPr="00000000" w14:paraId="0000019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Canadian Centre on Drug Abuse and Addiction. “Prescription Opioids (Canadian Drug Summary).” </w:t>
      </w:r>
      <w:r w:rsidDel="00000000" w:rsidR="00000000" w:rsidRPr="00000000">
        <w:rPr>
          <w:rFonts w:ascii="Century Gothic" w:cs="Century Gothic" w:eastAsia="Century Gothic" w:hAnsi="Century Gothic"/>
          <w:i w:val="1"/>
          <w:iCs w:val="1"/>
          <w:highlight w:val="white"/>
          <w:rtl w:val="0"/>
        </w:rPr>
        <w:t xml:space="preserve">Www.ccsa.ca</w:t>
      </w:r>
      <w:r w:rsidDel="00000000" w:rsidR="00000000" w:rsidRPr="00000000">
        <w:rPr>
          <w:rFonts w:ascii="Century Gothic" w:cs="Century Gothic" w:eastAsia="Century Gothic" w:hAnsi="Century Gothic"/>
          <w:highlight w:val="white"/>
          <w:rtl w:val="0"/>
        </w:rPr>
        <w:t xml:space="preserve">, Canadian Centre on Drug Abuse and Addiction, July 2020, www.ccsa.ca/sites/default/files/2020-07/CCSA-Canadian-Drug-Summary-Prescription-Opioids-2020-en.pdf. Accessed 13 Apr. 2024.</w:t>
      </w:r>
    </w:p>
    <w:p w:rsidR="00000000" w:rsidDel="00000000" w:rsidP="00000000" w:rsidRDefault="00000000" w:rsidRPr="00000000" w14:paraId="0000019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Centers for Disease Control and Prevention. “Opioid Overdose | Drug Overdose | CDC Injury Center.” </w:t>
      </w:r>
      <w:r w:rsidDel="00000000" w:rsidR="00000000" w:rsidRPr="00000000">
        <w:rPr>
          <w:rFonts w:ascii="Century Gothic" w:cs="Century Gothic" w:eastAsia="Century Gothic" w:hAnsi="Century Gothic"/>
          <w:i w:val="1"/>
          <w:iCs w:val="1"/>
          <w:highlight w:val="white"/>
          <w:rtl w:val="0"/>
        </w:rPr>
        <w:t xml:space="preserve">Centers for Disease Control and Prevention</w:t>
      </w:r>
      <w:r w:rsidDel="00000000" w:rsidR="00000000" w:rsidRPr="00000000">
        <w:rPr>
          <w:rFonts w:ascii="Century Gothic" w:cs="Century Gothic" w:eastAsia="Century Gothic" w:hAnsi="Century Gothic"/>
          <w:highlight w:val="white"/>
          <w:rtl w:val="0"/>
        </w:rPr>
        <w:t xml:space="preserve">, 2021, https://www.cdc.gov/drugoverdose/deaths/opioid-overdose.html. Accessed 7 April 2024.</w:t>
      </w:r>
    </w:p>
    <w:p w:rsidR="00000000" w:rsidDel="00000000" w:rsidP="00000000" w:rsidRDefault="00000000" w:rsidRPr="00000000" w14:paraId="0000019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“CONSULATE GENERAL of the REPUBLIC of INDONESIA JEDDAH, Kingdom of Saudi Arabia.” </w:t>
      </w:r>
      <w:r w:rsidDel="00000000" w:rsidR="00000000" w:rsidRPr="00000000">
        <w:rPr>
          <w:rFonts w:ascii="Century Gothic" w:cs="Century Gothic" w:eastAsia="Century Gothic" w:hAnsi="Century Gothic"/>
          <w:i w:val="1"/>
          <w:iCs w:val="1"/>
          <w:highlight w:val="white"/>
          <w:rtl w:val="0"/>
        </w:rPr>
        <w:t xml:space="preserve">Kementerian Luar Negeri Republika Indonesia</w:t>
      </w:r>
      <w:r w:rsidDel="00000000" w:rsidR="00000000" w:rsidRPr="00000000">
        <w:rPr>
          <w:rFonts w:ascii="Century Gothic" w:cs="Century Gothic" w:eastAsia="Century Gothic" w:hAnsi="Century Gothic"/>
          <w:highlight w:val="white"/>
          <w:rtl w:val="0"/>
        </w:rPr>
        <w:t xml:space="preserve">, 2018, www.kemlu.go.id/jeddah/en/news/25992/harsh-punishment-for-drug-dealers-in-saudi-arabia#:~:text=4%2FB%2F966%20dated%2010,</w:t>
      </w:r>
      <w:r w:rsidDel="00000000" w:rsidR="00000000" w:rsidRPr="00000000">
        <w:rPr>
          <w:rFonts w:ascii="Century Gothic" w:cs="Century Gothic" w:eastAsia="Century Gothic" w:hAnsi="Century Gothic"/>
          <w:highlight w:val="white"/>
          <w:rtl w:val="0"/>
        </w:rPr>
        <w:t xml:space="preserve">deportation%2C%20imprisonment%20to%20death%20penalty</w:t>
      </w:r>
      <w:r w:rsidDel="00000000" w:rsidR="00000000" w:rsidRPr="00000000">
        <w:rPr>
          <w:rFonts w:ascii="Century Gothic" w:cs="Century Gothic" w:eastAsia="Century Gothic" w:hAnsi="Century Gothic"/>
          <w:highlight w:val="white"/>
          <w:rtl w:val="0"/>
        </w:rPr>
        <w:t xml:space="preserve">. Accessed 13 Apr. 2024.</w:t>
      </w:r>
    </w:p>
    <w:p w:rsidR="00000000" w:rsidDel="00000000" w:rsidP="00000000" w:rsidRDefault="00000000" w:rsidRPr="00000000" w14:paraId="0000019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“Controlled Substances Agreement - Students.” </w:t>
      </w:r>
      <w:r w:rsidDel="00000000" w:rsidR="00000000" w:rsidRPr="00000000">
        <w:rPr>
          <w:rFonts w:ascii="Century Gothic" w:cs="Century Gothic" w:eastAsia="Century Gothic" w:hAnsi="Century Gothic"/>
          <w:i w:val="1"/>
          <w:iCs w:val="1"/>
          <w:highlight w:val="white"/>
          <w:rtl w:val="0"/>
        </w:rPr>
        <w:t xml:space="preserve">Students</w:t>
      </w:r>
      <w:r w:rsidDel="00000000" w:rsidR="00000000" w:rsidRPr="00000000">
        <w:rPr>
          <w:rFonts w:ascii="Century Gothic" w:cs="Century Gothic" w:eastAsia="Century Gothic" w:hAnsi="Century Gothic"/>
          <w:highlight w:val="white"/>
          <w:rtl w:val="0"/>
        </w:rPr>
        <w:t xml:space="preserve">, 2 Aug. 2018, students.wustl.edu/controlled-substances-agreement/. Accessed 6 Apr. 2024.</w:t>
      </w:r>
    </w:p>
    <w:p w:rsidR="00000000" w:rsidDel="00000000" w:rsidP="00000000" w:rsidRDefault="00000000" w:rsidRPr="00000000" w14:paraId="0000019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Cyr, Claude, et al. “Cannabis in Palliative Care: Current Challenges and Practical Recommendations.” </w:t>
      </w:r>
      <w:r w:rsidDel="00000000" w:rsidR="00000000" w:rsidRPr="00000000">
        <w:rPr>
          <w:rFonts w:ascii="Century Gothic" w:cs="Century Gothic" w:eastAsia="Century Gothic" w:hAnsi="Century Gothic"/>
          <w:i w:val="1"/>
          <w:iCs w:val="1"/>
          <w:highlight w:val="white"/>
          <w:rtl w:val="0"/>
        </w:rPr>
        <w:t xml:space="preserve">Annals of Palliative Medicine</w:t>
      </w:r>
      <w:r w:rsidDel="00000000" w:rsidR="00000000" w:rsidRPr="00000000">
        <w:rPr>
          <w:rFonts w:ascii="Century Gothic" w:cs="Century Gothic" w:eastAsia="Century Gothic" w:hAnsi="Century Gothic"/>
          <w:highlight w:val="white"/>
          <w:rtl w:val="0"/>
        </w:rPr>
        <w:t xml:space="preserve">, vol. 7, no. 4, AME Publishing Company, Oct. 2018, pp. 463–77, https://doi.org/10.21037/apm.2018.06.04. Accessed 13 Apr. 2024.</w:t>
      </w:r>
    </w:p>
    <w:p w:rsidR="00000000" w:rsidDel="00000000" w:rsidP="00000000" w:rsidRDefault="00000000" w:rsidRPr="00000000" w14:paraId="0000019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“Details.”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2015, www.unodc.org/LSS/Country/DetailsLegalSystem?code=DLIL&amp;country=CN. Accessed 7 Apr. 2024.</w:t>
      </w:r>
    </w:p>
    <w:p w:rsidR="00000000" w:rsidDel="00000000" w:rsidP="00000000" w:rsidRDefault="00000000" w:rsidRPr="00000000" w14:paraId="0000019F">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Drug Diversion: What Is a Prescriber’s Role in Preventing the Diversion of Prescription Drugs? </w:t>
      </w:r>
      <w:r w:rsidDel="00000000" w:rsidR="00000000" w:rsidRPr="00000000">
        <w:rPr>
          <w:rFonts w:ascii="Century Gothic" w:cs="Century Gothic" w:eastAsia="Century Gothic" w:hAnsi="Century Gothic"/>
          <w:highlight w:val="white"/>
          <w:rtl w:val="0"/>
        </w:rPr>
        <w:t xml:space="preserve">2016, www.hhs.gov/guidance/sites/default/files/hhs-guidance-documents/DrugDiversionFS022316.pdf</w:t>
      </w:r>
    </w:p>
    <w:p w:rsidR="00000000" w:rsidDel="00000000" w:rsidP="00000000" w:rsidRDefault="00000000" w:rsidRPr="00000000" w14:paraId="000001A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“Drug Overdose Death Rates | National Institute on Drug Abuse.”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30 June 2023, nida.nih.gov/research-topics/trends-statistics/overdose-death-rates. Accessed 7 Apr. 2024.</w:t>
      </w:r>
    </w:p>
    <w:p w:rsidR="00000000" w:rsidDel="00000000" w:rsidP="00000000" w:rsidRDefault="00000000" w:rsidRPr="00000000" w14:paraId="000001A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ESMO. “Global Opioid Policy Initiative.” </w:t>
      </w:r>
      <w:r w:rsidDel="00000000" w:rsidR="00000000" w:rsidRPr="00000000">
        <w:rPr>
          <w:rFonts w:ascii="Century Gothic" w:cs="Century Gothic" w:eastAsia="Century Gothic" w:hAnsi="Century Gothic"/>
          <w:i w:val="1"/>
          <w:iCs w:val="1"/>
          <w:highlight w:val="white"/>
          <w:rtl w:val="0"/>
        </w:rPr>
        <w:t xml:space="preserve">Esmo.org</w:t>
      </w:r>
      <w:r w:rsidDel="00000000" w:rsidR="00000000" w:rsidRPr="00000000">
        <w:rPr>
          <w:rFonts w:ascii="Century Gothic" w:cs="Century Gothic" w:eastAsia="Century Gothic" w:hAnsi="Century Gothic"/>
          <w:highlight w:val="white"/>
          <w:rtl w:val="0"/>
        </w:rPr>
        <w:t xml:space="preserve">, 2014, www.esmo.org/policy/access-to-cancer-medicines-and-technologies/accessibility-and-availability-of-medicines-and-technologies/global-opioid-policy-initiative. Accessed 13 Apr. 2024.</w:t>
      </w:r>
    </w:p>
    <w:p w:rsidR="00000000" w:rsidDel="00000000" w:rsidP="00000000" w:rsidRDefault="00000000" w:rsidRPr="00000000" w14:paraId="000001A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Gateway Drugs Individual Counseling. “What Are Gateway Drugs? - Crest View Recovery.” </w:t>
      </w:r>
      <w:r w:rsidDel="00000000" w:rsidR="00000000" w:rsidRPr="00000000">
        <w:rPr>
          <w:rFonts w:ascii="Century Gothic" w:cs="Century Gothic" w:eastAsia="Century Gothic" w:hAnsi="Century Gothic"/>
          <w:i w:val="1"/>
          <w:iCs w:val="1"/>
          <w:highlight w:val="white"/>
          <w:rtl w:val="0"/>
        </w:rPr>
        <w:t xml:space="preserve">Crest View Recovery Center</w:t>
      </w:r>
      <w:r w:rsidDel="00000000" w:rsidR="00000000" w:rsidRPr="00000000">
        <w:rPr>
          <w:rFonts w:ascii="Century Gothic" w:cs="Century Gothic" w:eastAsia="Century Gothic" w:hAnsi="Century Gothic"/>
          <w:highlight w:val="white"/>
          <w:rtl w:val="0"/>
        </w:rPr>
        <w:t xml:space="preserve">, 24 March 2024, https://www.crestviewrecoverycenter.com/addiction-blog/gateway-drugs/. Accessed 8 April 2024.</w:t>
      </w:r>
    </w:p>
    <w:p w:rsidR="00000000" w:rsidDel="00000000" w:rsidP="00000000" w:rsidRDefault="00000000" w:rsidRPr="00000000" w14:paraId="000001A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Jenkins, Philip. “War on Drugs | History &amp; Mass Incarceration.” </w:t>
      </w:r>
      <w:r w:rsidDel="00000000" w:rsidR="00000000" w:rsidRPr="00000000">
        <w:rPr>
          <w:rFonts w:ascii="Century Gothic" w:cs="Century Gothic" w:eastAsia="Century Gothic" w:hAnsi="Century Gothic"/>
          <w:i w:val="1"/>
          <w:iCs w:val="1"/>
          <w:highlight w:val="white"/>
          <w:rtl w:val="0"/>
        </w:rPr>
        <w:t xml:space="preserve">Britannica</w:t>
      </w:r>
      <w:r w:rsidDel="00000000" w:rsidR="00000000" w:rsidRPr="00000000">
        <w:rPr>
          <w:rFonts w:ascii="Century Gothic" w:cs="Century Gothic" w:eastAsia="Century Gothic" w:hAnsi="Century Gothic"/>
          <w:highlight w:val="white"/>
          <w:rtl w:val="0"/>
        </w:rPr>
        <w:t xml:space="preserve">, 5 March 2024, https://www.britannica.com/topic/war-on-drugs. Accessed 7 April 2024.</w:t>
      </w:r>
    </w:p>
    <w:p w:rsidR="00000000" w:rsidDel="00000000" w:rsidP="00000000" w:rsidRDefault="00000000" w:rsidRPr="00000000" w14:paraId="000001A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Joint Guidance Medical Council and Pharmaceutical Society of Ireland. “Safe Prescribing and Dispensing of Controlled Drugs.” Pharmaceutical Society of Ireland, https://www.thepsi.ie/Libraries/Practice_Guidance/PSI_and_Medical_Council_Joint_guidance.sflb.ashx. Accessed 18 May 2024.</w:t>
      </w:r>
    </w:p>
    <w:p w:rsidR="00000000" w:rsidDel="00000000" w:rsidP="00000000" w:rsidRDefault="00000000" w:rsidRPr="00000000" w14:paraId="000001A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johny.thomas. “Availability of Narcotic Drugs for Medical Use.” </w:t>
      </w:r>
      <w:r w:rsidDel="00000000" w:rsidR="00000000" w:rsidRPr="00000000">
        <w:rPr>
          <w:rFonts w:ascii="Century Gothic" w:cs="Century Gothic" w:eastAsia="Century Gothic" w:hAnsi="Century Gothic"/>
          <w:i w:val="1"/>
          <w:iCs w:val="1"/>
          <w:highlight w:val="white"/>
          <w:rtl w:val="0"/>
        </w:rPr>
        <w:t xml:space="preserve">Incb.org</w:t>
      </w:r>
      <w:r w:rsidDel="00000000" w:rsidR="00000000" w:rsidRPr="00000000">
        <w:rPr>
          <w:rFonts w:ascii="Century Gothic" w:cs="Century Gothic" w:eastAsia="Century Gothic" w:hAnsi="Century Gothic"/>
          <w:highlight w:val="white"/>
          <w:rtl w:val="0"/>
        </w:rPr>
        <w:t xml:space="preserve">, 2014, www.incb.org/incb/en/narcotic-drugs/Availability/availability.html. Accessed 13 Apr. 2024.</w:t>
      </w:r>
    </w:p>
    <w:p w:rsidR="00000000" w:rsidDel="00000000" w:rsidP="00000000" w:rsidRDefault="00000000" w:rsidRPr="00000000" w14:paraId="000001A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lamija.dzigal. “About.” </w:t>
      </w:r>
      <w:r w:rsidDel="00000000" w:rsidR="00000000" w:rsidRPr="00000000">
        <w:rPr>
          <w:rFonts w:ascii="Century Gothic" w:cs="Century Gothic" w:eastAsia="Century Gothic" w:hAnsi="Century Gothic"/>
          <w:i w:val="1"/>
          <w:iCs w:val="1"/>
          <w:highlight w:val="white"/>
          <w:rtl w:val="0"/>
        </w:rPr>
        <w:t xml:space="preserve">Incb.org</w:t>
      </w:r>
      <w:r w:rsidDel="00000000" w:rsidR="00000000" w:rsidRPr="00000000">
        <w:rPr>
          <w:rFonts w:ascii="Century Gothic" w:cs="Century Gothic" w:eastAsia="Century Gothic" w:hAnsi="Century Gothic"/>
          <w:highlight w:val="white"/>
          <w:rtl w:val="0"/>
        </w:rPr>
        <w:t xml:space="preserve">, 2024, www.incb.org/incb/en/about.html. Accessed 7 Apr. 2024.</w:t>
      </w:r>
    </w:p>
    <w:p w:rsidR="00000000" w:rsidDel="00000000" w:rsidP="00000000" w:rsidRDefault="00000000" w:rsidRPr="00000000" w14:paraId="000001A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Leyh, Brianne McGonigle, and Marie Elske Gispen. “Access to Medicines in Times of Conflict: Overlapping Compliance and Accountability Frameworks for Syria.” </w:t>
      </w:r>
      <w:r w:rsidDel="00000000" w:rsidR="00000000" w:rsidRPr="00000000">
        <w:rPr>
          <w:rFonts w:ascii="Century Gothic" w:cs="Century Gothic" w:eastAsia="Century Gothic" w:hAnsi="Century Gothic"/>
          <w:i w:val="1"/>
          <w:iCs w:val="1"/>
          <w:highlight w:val="white"/>
          <w:rtl w:val="0"/>
        </w:rPr>
        <w:t xml:space="preserve">Health and Human Rights</w:t>
      </w:r>
      <w:r w:rsidDel="00000000" w:rsidR="00000000" w:rsidRPr="00000000">
        <w:rPr>
          <w:rFonts w:ascii="Century Gothic" w:cs="Century Gothic" w:eastAsia="Century Gothic" w:hAnsi="Century Gothic"/>
          <w:highlight w:val="white"/>
          <w:rtl w:val="0"/>
        </w:rPr>
        <w:t xml:space="preserve">, vol. 20, no. 1, 2018, pp. 237–50, www.ncbi.nlm.nih.gov/pmc/articles/PMC6039728/. Accessed 13 Apr. 2024.</w:t>
      </w:r>
    </w:p>
    <w:p w:rsidR="00000000" w:rsidDel="00000000" w:rsidP="00000000" w:rsidRDefault="00000000" w:rsidRPr="00000000" w14:paraId="000001B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Lohman, Diederik. “‘Please, Do Not Make Us Suffer Any More….’”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3 Mar. 2009, www.hrw.org/report/2009/03/03/please-do-not-make-us-suffer-any-more/access-pain-treatment-human-right#_ftn1. Accessed 13 Apr. 2024.</w:t>
      </w:r>
    </w:p>
    <w:p w:rsidR="00000000" w:rsidDel="00000000" w:rsidP="00000000" w:rsidRDefault="00000000" w:rsidRPr="00000000" w14:paraId="000001B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Manfredi, Christopher P. “Liberal Morality and the Myths of Drug Criminalization.” </w:t>
      </w:r>
      <w:r w:rsidDel="00000000" w:rsidR="00000000" w:rsidRPr="00000000">
        <w:rPr>
          <w:rFonts w:ascii="Century Gothic" w:cs="Century Gothic" w:eastAsia="Century Gothic" w:hAnsi="Century Gothic"/>
          <w:i w:val="1"/>
          <w:iCs w:val="1"/>
          <w:highlight w:val="white"/>
          <w:rtl w:val="0"/>
        </w:rPr>
        <w:t xml:space="preserve">Policy Options</w:t>
      </w:r>
      <w:r w:rsidDel="00000000" w:rsidR="00000000" w:rsidRPr="00000000">
        <w:rPr>
          <w:rFonts w:ascii="Century Gothic" w:cs="Century Gothic" w:eastAsia="Century Gothic" w:hAnsi="Century Gothic"/>
          <w:highlight w:val="white"/>
          <w:rtl w:val="0"/>
        </w:rPr>
        <w:t xml:space="preserve">, Apr. 2021, policyoptions.irpp.org/magazines/should-we-legalize-drugs/liberal-morality-and-the-myths-of-drug-criminalization/. Accessed 6 Apr. 2024.</w:t>
      </w:r>
    </w:p>
    <w:p w:rsidR="00000000" w:rsidDel="00000000" w:rsidP="00000000" w:rsidRDefault="00000000" w:rsidRPr="00000000" w14:paraId="000001B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Miller,</w:t>
      </w:r>
      <w:r w:rsidDel="00000000" w:rsidR="00000000" w:rsidRPr="00000000">
        <w:rPr>
          <w:rFonts w:ascii="Century Gothic" w:cs="Century Gothic" w:eastAsia="Century Gothic" w:hAnsi="Century Gothic"/>
          <w:highlight w:val="white"/>
          <w:rtl w:val="0"/>
        </w:rPr>
        <w:t xml:space="preserve"> Leah. “Drug Overdose Symptoms, Risks &amp; Treatment.” American Addiction Centers, 2024, https://americanaddictioncenters.org/overdose. Accessed 18 May 2024.</w:t>
      </w:r>
    </w:p>
    <w:p w:rsidR="00000000" w:rsidDel="00000000" w:rsidP="00000000" w:rsidRDefault="00000000" w:rsidRPr="00000000" w14:paraId="000001B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Mohammad Hossein Mehrolhasani, et al. “Cross-Country Comparison of Treatment Policies </w:t>
      </w:r>
      <w:r w:rsidDel="00000000" w:rsidR="00000000" w:rsidRPr="00000000">
        <w:rPr>
          <w:rFonts w:ascii="Century Gothic" w:cs="Century Gothic" w:eastAsia="Century Gothic" w:hAnsi="Century Gothic"/>
          <w:highlight w:val="white"/>
          <w:rtl w:val="0"/>
        </w:rPr>
        <w:t xml:space="preserve">Facing the Drug</w:t>
      </w:r>
      <w:r w:rsidDel="00000000" w:rsidR="00000000" w:rsidRPr="00000000">
        <w:rPr>
          <w:rFonts w:ascii="Century Gothic" w:cs="Century Gothic" w:eastAsia="Century Gothic" w:hAnsi="Century Gothic"/>
          <w:highlight w:val="white"/>
          <w:rtl w:val="0"/>
        </w:rPr>
        <w:t xml:space="preserve"> Abuse in Five Selected Countries.” </w:t>
      </w:r>
      <w:r w:rsidDel="00000000" w:rsidR="00000000" w:rsidRPr="00000000">
        <w:rPr>
          <w:rFonts w:ascii="Century Gothic" w:cs="Century Gothic" w:eastAsia="Century Gothic" w:hAnsi="Century Gothic"/>
          <w:i w:val="1"/>
          <w:iCs w:val="1"/>
          <w:highlight w:val="white"/>
          <w:rtl w:val="0"/>
        </w:rPr>
        <w:t xml:space="preserve">PubMed</w:t>
      </w:r>
      <w:r w:rsidDel="00000000" w:rsidR="00000000" w:rsidRPr="00000000">
        <w:rPr>
          <w:rFonts w:ascii="Century Gothic" w:cs="Century Gothic" w:eastAsia="Century Gothic" w:hAnsi="Century Gothic"/>
          <w:highlight w:val="white"/>
          <w:rtl w:val="0"/>
        </w:rPr>
        <w:t xml:space="preserve">, vol. 11, no. 2, National Institutes of Health, Apr. 2019, pp. 81–92, https://doi.org/10.22122/ahj.v11i2.233. Accessed 7 Apr. 2024.</w:t>
      </w:r>
    </w:p>
    <w:p w:rsidR="00000000" w:rsidDel="00000000" w:rsidP="00000000" w:rsidRDefault="00000000" w:rsidRPr="00000000" w14:paraId="000001B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Naina Bajekal. “Want to Win the War on Drugs? Portugal Might Have the Answer.” </w:t>
      </w:r>
      <w:r w:rsidDel="00000000" w:rsidR="00000000" w:rsidRPr="00000000">
        <w:rPr>
          <w:rFonts w:ascii="Century Gothic" w:cs="Century Gothic" w:eastAsia="Century Gothic" w:hAnsi="Century Gothic"/>
          <w:i w:val="1"/>
          <w:iCs w:val="1"/>
          <w:highlight w:val="white"/>
          <w:rtl w:val="0"/>
        </w:rPr>
        <w:t xml:space="preserve">Time</w:t>
      </w:r>
      <w:r w:rsidDel="00000000" w:rsidR="00000000" w:rsidRPr="00000000">
        <w:rPr>
          <w:rFonts w:ascii="Century Gothic" w:cs="Century Gothic" w:eastAsia="Century Gothic" w:hAnsi="Century Gothic"/>
          <w:highlight w:val="white"/>
          <w:rtl w:val="0"/>
        </w:rPr>
        <w:t xml:space="preserve">, Time, Aug. 2018, time.com/longform/portugal-drug-use-decriminalization/. Accessed 6 Apr. 2024.</w:t>
      </w:r>
    </w:p>
    <w:p w:rsidR="00000000" w:rsidDel="00000000" w:rsidP="00000000" w:rsidRDefault="00000000" w:rsidRPr="00000000" w14:paraId="000001B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Cancer Institute. “Definition of opioid - NCI Dictionary of Cancer Terms - NCI.” </w:t>
      </w:r>
      <w:r w:rsidDel="00000000" w:rsidR="00000000" w:rsidRPr="00000000">
        <w:rPr>
          <w:rFonts w:ascii="Century Gothic" w:cs="Century Gothic" w:eastAsia="Century Gothic" w:hAnsi="Century Gothic"/>
          <w:i w:val="1"/>
          <w:iCs w:val="1"/>
          <w:highlight w:val="white"/>
          <w:rtl w:val="0"/>
        </w:rPr>
        <w:t xml:space="preserve">National Cancer Institute</w:t>
      </w:r>
      <w:r w:rsidDel="00000000" w:rsidR="00000000" w:rsidRPr="00000000">
        <w:rPr>
          <w:rFonts w:ascii="Century Gothic" w:cs="Century Gothic" w:eastAsia="Century Gothic" w:hAnsi="Century Gothic"/>
          <w:highlight w:val="white"/>
          <w:rtl w:val="0"/>
        </w:rPr>
        <w:t xml:space="preserve">, 2024, https://www.cancer.gov/publications/dictionaries/cancer-terms/def/opioid. Accessed 7 April 2024.</w:t>
      </w:r>
    </w:p>
    <w:p w:rsidR="00000000" w:rsidDel="00000000" w:rsidP="00000000" w:rsidRDefault="00000000" w:rsidRPr="00000000" w14:paraId="000001B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on Drug Abuse. “Drug Misuse and Addiction.”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10 July 2020, https://nida.nih.gov/publications/drugs-brains-behavior-science-addiction/drug-misuse-addiction. Accessed 7 April 2024.</w:t>
      </w:r>
    </w:p>
    <w:p w:rsidR="00000000" w:rsidDel="00000000" w:rsidP="00000000" w:rsidRDefault="00000000" w:rsidRPr="00000000" w14:paraId="000001B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on Drug Abuse. “Opioids.”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March 2024, https://nida.nih.gov/research-topics/opioids. Accessed 7 April 2024.</w:t>
      </w:r>
    </w:p>
    <w:p w:rsidR="00000000" w:rsidDel="00000000" w:rsidP="00000000" w:rsidRDefault="00000000" w:rsidRPr="00000000" w14:paraId="000001C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“NCI Dictionary of Cancer Terms.” </w:t>
      </w:r>
      <w:r w:rsidDel="00000000" w:rsidR="00000000" w:rsidRPr="00000000">
        <w:rPr>
          <w:rFonts w:ascii="Century Gothic" w:cs="Century Gothic" w:eastAsia="Century Gothic" w:hAnsi="Century Gothic"/>
          <w:i w:val="1"/>
          <w:iCs w:val="1"/>
          <w:highlight w:val="white"/>
          <w:rtl w:val="0"/>
        </w:rPr>
        <w:t xml:space="preserve">National Cancer Institute</w:t>
      </w:r>
      <w:r w:rsidDel="00000000" w:rsidR="00000000" w:rsidRPr="00000000">
        <w:rPr>
          <w:rFonts w:ascii="Century Gothic" w:cs="Century Gothic" w:eastAsia="Century Gothic" w:hAnsi="Century Gothic"/>
          <w:highlight w:val="white"/>
          <w:rtl w:val="0"/>
        </w:rPr>
        <w:t xml:space="preserve">, Cancer.gov, 2024, www.cancer.gov/publications/dictionaries/cancer-terms/def/cannabis. Accessed 13 Apr. 2024.</w:t>
      </w:r>
    </w:p>
    <w:p w:rsidR="00000000" w:rsidDel="00000000" w:rsidP="00000000" w:rsidRDefault="00000000" w:rsidRPr="00000000" w14:paraId="000001C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Accountability. “Preventing Drug Diversion: Disposal of Controlled Substances in Home Hospice Settings.” </w:t>
      </w:r>
      <w:r w:rsidDel="00000000" w:rsidR="00000000" w:rsidRPr="00000000">
        <w:rPr>
          <w:rFonts w:ascii="Century Gothic" w:cs="Century Gothic" w:eastAsia="Century Gothic" w:hAnsi="Century Gothic"/>
          <w:i w:val="1"/>
          <w:iCs w:val="1"/>
          <w:highlight w:val="white"/>
          <w:rtl w:val="0"/>
        </w:rPr>
        <w:t xml:space="preserve">Gao.gov</w:t>
      </w:r>
      <w:r w:rsidDel="00000000" w:rsidR="00000000" w:rsidRPr="00000000">
        <w:rPr>
          <w:rFonts w:ascii="Century Gothic" w:cs="Century Gothic" w:eastAsia="Century Gothic" w:hAnsi="Century Gothic"/>
          <w:highlight w:val="white"/>
          <w:rtl w:val="0"/>
        </w:rPr>
        <w:t xml:space="preserve">, 2020, www.gao.gov/products/gao-20-378#:~:text=Most%20patients%20get%20hospice%20care,anyone%20with%20access%20to%20them. Accessed 13 Apr. 2024.</w:t>
      </w:r>
    </w:p>
    <w:p w:rsidR="00000000" w:rsidDel="00000000" w:rsidP="00000000" w:rsidRDefault="00000000" w:rsidRPr="00000000" w14:paraId="000001C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“Drug History.” </w:t>
      </w:r>
      <w:r w:rsidDel="00000000" w:rsidR="00000000" w:rsidRPr="00000000">
        <w:rPr>
          <w:rFonts w:ascii="Century Gothic" w:cs="Century Gothic" w:eastAsia="Century Gothic" w:hAnsi="Century Gothic"/>
          <w:i w:val="1"/>
          <w:iCs w:val="1"/>
          <w:highlight w:val="white"/>
          <w:rtl w:val="0"/>
        </w:rPr>
        <w:t xml:space="preserve">U.S. Food and Drug Administration</w:t>
      </w:r>
      <w:r w:rsidDel="00000000" w:rsidR="00000000" w:rsidRPr="00000000">
        <w:rPr>
          <w:rFonts w:ascii="Century Gothic" w:cs="Century Gothic" w:eastAsia="Century Gothic" w:hAnsi="Century Gothic"/>
          <w:highlight w:val="white"/>
          <w:rtl w:val="0"/>
        </w:rPr>
        <w:t xml:space="preserve">, 2023, www.fda.gov/about-fda/histories-fda-regulated-products/history-drug-regulation. Accessed 10 Apr. 2024.</w:t>
      </w:r>
    </w:p>
    <w:p w:rsidR="00000000" w:rsidDel="00000000" w:rsidP="00000000" w:rsidRDefault="00000000" w:rsidRPr="00000000" w14:paraId="000001C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“Philippines - Prohibited &amp; Restricted Imports.” </w:t>
      </w:r>
      <w:r w:rsidDel="00000000" w:rsidR="00000000" w:rsidRPr="00000000">
        <w:rPr>
          <w:rFonts w:ascii="Century Gothic" w:cs="Century Gothic" w:eastAsia="Century Gothic" w:hAnsi="Century Gothic"/>
          <w:i w:val="1"/>
          <w:iCs w:val="1"/>
          <w:highlight w:val="white"/>
          <w:rtl w:val="0"/>
        </w:rPr>
        <w:t xml:space="preserve">International Trade Administration | Trade.gov</w:t>
      </w:r>
      <w:r w:rsidDel="00000000" w:rsidR="00000000" w:rsidRPr="00000000">
        <w:rPr>
          <w:rFonts w:ascii="Century Gothic" w:cs="Century Gothic" w:eastAsia="Century Gothic" w:hAnsi="Century Gothic"/>
          <w:highlight w:val="white"/>
          <w:rtl w:val="0"/>
        </w:rPr>
        <w:t xml:space="preserve">, 24 Jan. 2024, www.trade.gov/knowledge-product/philippines-prohibited-restricted-imports. Accessed 7 Apr. 2024.</w:t>
      </w:r>
    </w:p>
    <w:p w:rsidR="00000000" w:rsidDel="00000000" w:rsidP="00000000" w:rsidRDefault="00000000" w:rsidRPr="00000000" w14:paraId="000001C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‘Please, Do Not Make Us Suffer Any More….’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3 Mar. 2009, www.hrw.org/report/2009/03/03/please-do-not-make-us-suffer-any-more/access-pain-treatment-human-right#_ftn1. Accessed 13 Apr. 2024.</w:t>
      </w:r>
    </w:p>
    <w:p w:rsidR="00000000" w:rsidDel="00000000" w:rsidP="00000000" w:rsidRDefault="00000000" w:rsidRPr="00000000" w14:paraId="000001C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“Prescription Medicines Overview.” </w:t>
      </w:r>
      <w:r w:rsidDel="00000000" w:rsidR="00000000" w:rsidRPr="00000000">
        <w:rPr>
          <w:rFonts w:ascii="Century Gothic" w:cs="Century Gothic" w:eastAsia="Century Gothic" w:hAnsi="Century Gothic"/>
          <w:i w:val="1"/>
          <w:iCs w:val="1"/>
          <w:highlight w:val="white"/>
          <w:rtl w:val="0"/>
        </w:rPr>
        <w:t xml:space="preserve">Therapeutic Goods Administration (TGA)</w:t>
      </w:r>
      <w:r w:rsidDel="00000000" w:rsidR="00000000" w:rsidRPr="00000000">
        <w:rPr>
          <w:rFonts w:ascii="Century Gothic" w:cs="Century Gothic" w:eastAsia="Century Gothic" w:hAnsi="Century Gothic"/>
          <w:highlight w:val="white"/>
          <w:rtl w:val="0"/>
        </w:rPr>
        <w:t xml:space="preserve">, 21 June 2022, www.tga.gov.au/resources/resource/guidance/prescription-medicines-overview. Accessed 13 Apr. 2024.</w:t>
      </w:r>
    </w:p>
    <w:p w:rsidR="00000000" w:rsidDel="00000000" w:rsidP="00000000" w:rsidRDefault="00000000" w:rsidRPr="00000000" w14:paraId="000001C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“Preventing Drug Diversion: Disposal of Controlled Substances in Home Hospice Settings.” </w:t>
      </w:r>
      <w:r w:rsidDel="00000000" w:rsidR="00000000" w:rsidRPr="00000000">
        <w:rPr>
          <w:rFonts w:ascii="Century Gothic" w:cs="Century Gothic" w:eastAsia="Century Gothic" w:hAnsi="Century Gothic"/>
          <w:i w:val="1"/>
          <w:iCs w:val="1"/>
          <w:highlight w:val="white"/>
          <w:rtl w:val="0"/>
        </w:rPr>
        <w:t xml:space="preserve">Gao.gov</w:t>
      </w:r>
      <w:r w:rsidDel="00000000" w:rsidR="00000000" w:rsidRPr="00000000">
        <w:rPr>
          <w:rFonts w:ascii="Century Gothic" w:cs="Century Gothic" w:eastAsia="Century Gothic" w:hAnsi="Century Gothic"/>
          <w:highlight w:val="white"/>
          <w:rtl w:val="0"/>
        </w:rPr>
        <w:t xml:space="preserve">, 2020, www.gao.gov/products/gao-20-378#:~:text=Most%20patients%20get%20hospice%20care,anyone%20with%20access%20to%20them. Accessed 13 Apr. 2024.</w:t>
      </w:r>
    </w:p>
    <w:p w:rsidR="00000000" w:rsidDel="00000000" w:rsidP="00000000" w:rsidRDefault="00000000" w:rsidRPr="00000000" w14:paraId="000001CF">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D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Procedures and Controls of Narcotics and Psychotropic Substances</w:t>
      </w:r>
      <w:r w:rsidDel="00000000" w:rsidR="00000000" w:rsidRPr="00000000">
        <w:rPr>
          <w:rFonts w:ascii="Century Gothic" w:cs="Century Gothic" w:eastAsia="Century Gothic" w:hAnsi="Century Gothic"/>
          <w:highlight w:val="white"/>
          <w:rtl w:val="0"/>
        </w:rPr>
        <w:t xml:space="preserve">. www.sfda.gov.sa/sites/default/files/2021-09/Drug12112019e1.pdf.</w:t>
      </w:r>
    </w:p>
    <w:p w:rsidR="00000000" w:rsidDel="00000000" w:rsidP="00000000" w:rsidRDefault="00000000" w:rsidRPr="00000000" w14:paraId="000001D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Reuters. “Philippines’ Duterte Says Will Never Apologise for Drug War Deaths.” </w:t>
      </w:r>
      <w:r w:rsidDel="00000000" w:rsidR="00000000" w:rsidRPr="00000000">
        <w:rPr>
          <w:rFonts w:ascii="Century Gothic" w:cs="Century Gothic" w:eastAsia="Century Gothic" w:hAnsi="Century Gothic"/>
          <w:i w:val="1"/>
          <w:iCs w:val="1"/>
          <w:highlight w:val="white"/>
          <w:rtl w:val="0"/>
        </w:rPr>
        <w:t xml:space="preserve">Reuters</w:t>
      </w:r>
      <w:r w:rsidDel="00000000" w:rsidR="00000000" w:rsidRPr="00000000">
        <w:rPr>
          <w:rFonts w:ascii="Century Gothic" w:cs="Century Gothic" w:eastAsia="Century Gothic" w:hAnsi="Century Gothic"/>
          <w:highlight w:val="white"/>
          <w:rtl w:val="0"/>
        </w:rPr>
        <w:t xml:space="preserve">, 4 Jan. 2022, www.reuters.com/world/asia-pacific/philippines-duterte-says-will-never-apologise-drug-war-deaths-2022-01-04/. Accessed 7 Apr. 2024.</w:t>
      </w:r>
    </w:p>
    <w:p w:rsidR="00000000" w:rsidDel="00000000" w:rsidP="00000000" w:rsidRDefault="00000000" w:rsidRPr="00000000" w14:paraId="000001D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Sixty-Seventh World Health Assembly. </w:t>
      </w:r>
      <w:r w:rsidDel="00000000" w:rsidR="00000000" w:rsidRPr="00000000">
        <w:rPr>
          <w:rFonts w:ascii="Century Gothic" w:cs="Century Gothic" w:eastAsia="Century Gothic" w:hAnsi="Century Gothic"/>
          <w:i w:val="1"/>
          <w:iCs w:val="1"/>
          <w:highlight w:val="white"/>
          <w:rtl w:val="0"/>
        </w:rPr>
        <w:t xml:space="preserve">Strengthening of Palliative Care as a Component of Comprehensive Care throughout the Life Course</w:t>
      </w:r>
      <w:r w:rsidDel="00000000" w:rsidR="00000000" w:rsidRPr="00000000">
        <w:rPr>
          <w:rFonts w:ascii="Century Gothic" w:cs="Century Gothic" w:eastAsia="Century Gothic" w:hAnsi="Century Gothic"/>
          <w:highlight w:val="white"/>
          <w:rtl w:val="0"/>
        </w:rPr>
        <w:t xml:space="preserve">. World Health Assembly, 24 May 2015, apps.who.int/gb/ebwha/pdf_files/WHA67/A67_R19-en.pdf.</w:t>
      </w:r>
    </w:p>
    <w:p w:rsidR="00000000" w:rsidDel="00000000" w:rsidP="00000000" w:rsidRDefault="00000000" w:rsidRPr="00000000" w14:paraId="000001D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Economist. “How Many People Have Been Killed in Rodrigo Duterte’s War on Drugs?” </w:t>
      </w:r>
      <w:r w:rsidDel="00000000" w:rsidR="00000000" w:rsidRPr="00000000">
        <w:rPr>
          <w:rFonts w:ascii="Century Gothic" w:cs="Century Gothic" w:eastAsia="Century Gothic" w:hAnsi="Century Gothic"/>
          <w:i w:val="1"/>
          <w:iCs w:val="1"/>
          <w:highlight w:val="white"/>
          <w:rtl w:val="0"/>
        </w:rPr>
        <w:t xml:space="preserve">The Economist</w:t>
      </w:r>
      <w:r w:rsidDel="00000000" w:rsidR="00000000" w:rsidRPr="00000000">
        <w:rPr>
          <w:rFonts w:ascii="Century Gothic" w:cs="Century Gothic" w:eastAsia="Century Gothic" w:hAnsi="Century Gothic"/>
          <w:highlight w:val="white"/>
          <w:rtl w:val="0"/>
        </w:rPr>
        <w:t xml:space="preserve">, The Economist, 22 Nov. 2021, www.economist.com/graphic-detail/2021/11/22/how-many-people-have-been-killed-in-rodrigo-dutertes-war-on-drugs. Accessed 7 Apr. 2024.</w:t>
      </w:r>
    </w:p>
    <w:p w:rsidR="00000000" w:rsidDel="00000000" w:rsidP="00000000" w:rsidRDefault="00000000" w:rsidRPr="00000000" w14:paraId="000001D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None. “Opioid Crisis: Addiction, Overprescription, and Insufficient Primary Prevention.” </w:t>
      </w:r>
      <w:r w:rsidDel="00000000" w:rsidR="00000000" w:rsidRPr="00000000">
        <w:rPr>
          <w:rFonts w:ascii="Century Gothic" w:cs="Century Gothic" w:eastAsia="Century Gothic" w:hAnsi="Century Gothic"/>
          <w:i w:val="1"/>
          <w:iCs w:val="1"/>
          <w:highlight w:val="white"/>
          <w:rtl w:val="0"/>
        </w:rPr>
        <w:t xml:space="preserve">the Lancet Regional Health. Americas</w:t>
      </w:r>
      <w:r w:rsidDel="00000000" w:rsidR="00000000" w:rsidRPr="00000000">
        <w:rPr>
          <w:rFonts w:ascii="Century Gothic" w:cs="Century Gothic" w:eastAsia="Century Gothic" w:hAnsi="Century Gothic"/>
          <w:highlight w:val="white"/>
          <w:rtl w:val="0"/>
        </w:rPr>
        <w:t xml:space="preserve">, vol. 23, Elsevier BV, July 2023, pp. 100557–57, https://doi.org/10.1016/j.lana.2023.100557. Accessed 7 Apr. 2024.</w:t>
      </w:r>
    </w:p>
    <w:p w:rsidR="00000000" w:rsidDel="00000000" w:rsidP="00000000" w:rsidRDefault="00000000" w:rsidRPr="00000000" w14:paraId="000001D9">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D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Timeline E PRINT</w:t>
      </w:r>
      <w:r w:rsidDel="00000000" w:rsidR="00000000" w:rsidRPr="00000000">
        <w:rPr>
          <w:rFonts w:ascii="Century Gothic" w:cs="Century Gothic" w:eastAsia="Century Gothic" w:hAnsi="Century Gothic"/>
          <w:highlight w:val="white"/>
          <w:rtl w:val="0"/>
        </w:rPr>
        <w:t xml:space="preserve">. 2008, www.unodc.org/documents/wdr/WDR_2008/timeline_E_PRINT.pdf.</w:t>
      </w:r>
    </w:p>
    <w:p w:rsidR="00000000" w:rsidDel="00000000" w:rsidP="00000000" w:rsidRDefault="00000000" w:rsidRPr="00000000" w14:paraId="000001D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Office on Drugs and Crime. “EXECUTIVE SUMMARY.” United Nations Office on Drugs and Crime, 2023, https://www.unodc.org/res/WDR-2023/WDR23_Exsum_fin_SP.pdf. Accessed 18 May 2024.</w:t>
      </w:r>
    </w:p>
    <w:p w:rsidR="00000000" w:rsidDel="00000000" w:rsidP="00000000" w:rsidRDefault="00000000" w:rsidRPr="00000000" w14:paraId="000001D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D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Department of Health. “Prescription Drug Abuse &amp; Addiction Treatment Near Me.” </w:t>
      </w:r>
      <w:r w:rsidDel="00000000" w:rsidR="00000000" w:rsidRPr="00000000">
        <w:rPr>
          <w:rFonts w:ascii="Century Gothic" w:cs="Century Gothic" w:eastAsia="Century Gothic" w:hAnsi="Century Gothic"/>
          <w:i w:val="1"/>
          <w:iCs w:val="1"/>
          <w:highlight w:val="white"/>
          <w:rtl w:val="0"/>
        </w:rPr>
        <w:t xml:space="preserve">American Addiction Centers</w:t>
      </w:r>
      <w:r w:rsidDel="00000000" w:rsidR="00000000" w:rsidRPr="00000000">
        <w:rPr>
          <w:rFonts w:ascii="Century Gothic" w:cs="Century Gothic" w:eastAsia="Century Gothic" w:hAnsi="Century Gothic"/>
          <w:highlight w:val="white"/>
          <w:rtl w:val="0"/>
        </w:rPr>
        <w:t xml:space="preserve">, 3 January 2024, https://americanaddictioncenters.org/prescription-drugs. Accessed 8 April 2024.</w:t>
      </w:r>
    </w:p>
    <w:p w:rsidR="00000000" w:rsidDel="00000000" w:rsidP="00000000" w:rsidRDefault="00000000" w:rsidRPr="00000000" w14:paraId="000001D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VICE. “These Illegal Drugs Are Important Medicines | the War on Drugs.” </w:t>
      </w:r>
      <w:r w:rsidDel="00000000" w:rsidR="00000000" w:rsidRPr="00000000">
        <w:rPr>
          <w:rFonts w:ascii="Century Gothic" w:cs="Century Gothic" w:eastAsia="Century Gothic" w:hAnsi="Century Gothic"/>
          <w:i w:val="1"/>
          <w:iCs w:val="1"/>
          <w:highlight w:val="white"/>
          <w:rtl w:val="0"/>
        </w:rPr>
        <w:t xml:space="preserve">YouTube</w:t>
      </w:r>
      <w:r w:rsidDel="00000000" w:rsidR="00000000" w:rsidRPr="00000000">
        <w:rPr>
          <w:rFonts w:ascii="Century Gothic" w:cs="Century Gothic" w:eastAsia="Century Gothic" w:hAnsi="Century Gothic"/>
          <w:highlight w:val="white"/>
          <w:rtl w:val="0"/>
        </w:rPr>
        <w:t xml:space="preserve">, YouTube Video, 27 Feb. 2021, www.youtube.com/watch?v=odHk_oUvew8. Accessed 7 Apr. 2024.</w:t>
      </w:r>
    </w:p>
    <w:p w:rsidR="00000000" w:rsidDel="00000000" w:rsidP="00000000" w:rsidRDefault="00000000" w:rsidRPr="00000000" w14:paraId="000001E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“WHO Model Lists of Essential Medicines.”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2023, www.who.int/groups/expert-committee-on-selection-and-use-of-essential-medicines/essential-medicines-lists. Accessed 6 Apr. 2024.</w:t>
      </w:r>
    </w:p>
    <w:p w:rsidR="00000000" w:rsidDel="00000000" w:rsidP="00000000" w:rsidRDefault="00000000" w:rsidRPr="00000000" w14:paraId="000001E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“WHO Revision of Pain Management Guidelines.”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10 July 2023, www.who.int/who-revision-of-pain-management-guidelines. Accessed 13 Apr. 2024.</w:t>
      </w:r>
    </w:p>
    <w:p w:rsidR="00000000" w:rsidDel="00000000" w:rsidP="00000000" w:rsidRDefault="00000000" w:rsidRPr="00000000" w14:paraId="000001E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Executive Board. </w:t>
      </w:r>
      <w:r w:rsidDel="00000000" w:rsidR="00000000" w:rsidRPr="00000000">
        <w:rPr>
          <w:rFonts w:ascii="Century Gothic" w:cs="Century Gothic" w:eastAsia="Century Gothic" w:hAnsi="Century Gothic"/>
          <w:i w:val="1"/>
          <w:iCs w:val="1"/>
          <w:highlight w:val="white"/>
          <w:rtl w:val="0"/>
        </w:rPr>
        <w:t xml:space="preserve">Strengthening of Palliative Care as a Component of Integrated Treatment throughout the Life Course </w:t>
      </w:r>
      <w:r w:rsidDel="00000000" w:rsidR="00000000" w:rsidRPr="00000000">
        <w:rPr>
          <w:rFonts w:ascii="Century Gothic" w:cs="Century Gothic" w:eastAsia="Century Gothic" w:hAnsi="Century Gothic"/>
          <w:highlight w:val="white"/>
          <w:rtl w:val="0"/>
        </w:rPr>
        <w:t xml:space="preserve">. World Health Organization, 20 Dec. 2013, apps.who.int/gb/ebwha/pdf_files/EB134/B134_28-en.pdf. Accessed 13 Apr. 2024.</w:t>
      </w:r>
    </w:p>
    <w:p w:rsidR="00000000" w:rsidDel="00000000" w:rsidP="00000000" w:rsidRDefault="00000000" w:rsidRPr="00000000" w14:paraId="000001E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“What Are Palliative Care and Hospice Care?” </w:t>
      </w:r>
      <w:r w:rsidDel="00000000" w:rsidR="00000000" w:rsidRPr="00000000">
        <w:rPr>
          <w:rFonts w:ascii="Century Gothic" w:cs="Century Gothic" w:eastAsia="Century Gothic" w:hAnsi="Century Gothic"/>
          <w:i w:val="1"/>
          <w:iCs w:val="1"/>
          <w:highlight w:val="white"/>
          <w:rtl w:val="0"/>
        </w:rPr>
        <w:t xml:space="preserve">National Institute on Aging</w:t>
      </w:r>
      <w:r w:rsidDel="00000000" w:rsidR="00000000" w:rsidRPr="00000000">
        <w:rPr>
          <w:rFonts w:ascii="Century Gothic" w:cs="Century Gothic" w:eastAsia="Century Gothic" w:hAnsi="Century Gothic"/>
          <w:highlight w:val="white"/>
          <w:rtl w:val="0"/>
        </w:rPr>
        <w:t xml:space="preserve">, 2021, www.nia.nih.gov/health/hospice-and-palliative-care/what-are-palliative-care-and-hospice-care#:~:text=</w:t>
      </w:r>
      <w:r w:rsidDel="00000000" w:rsidR="00000000" w:rsidRPr="00000000">
        <w:rPr>
          <w:rFonts w:ascii="Century Gothic" w:cs="Century Gothic" w:eastAsia="Century Gothic" w:hAnsi="Century Gothic"/>
          <w:highlight w:val="white"/>
          <w:rtl w:val="0"/>
        </w:rPr>
        <w:t xml:space="preserve">Palliative%20care%20is%20specialized%20medical</w:t>
      </w:r>
      <w:r w:rsidDel="00000000" w:rsidR="00000000" w:rsidRPr="00000000">
        <w:rPr>
          <w:rFonts w:ascii="Century Gothic" w:cs="Century Gothic" w:eastAsia="Century Gothic" w:hAnsi="Century Gothic"/>
          <w:highlight w:val="white"/>
          <w:rtl w:val="0"/>
        </w:rPr>
        <w:t xml:space="preserve">,</w:t>
      </w:r>
      <w:r w:rsidDel="00000000" w:rsidR="00000000" w:rsidRPr="00000000">
        <w:rPr>
          <w:rFonts w:ascii="Century Gothic" w:cs="Century Gothic" w:eastAsia="Century Gothic" w:hAnsi="Century Gothic"/>
          <w:highlight w:val="white"/>
          <w:rtl w:val="0"/>
        </w:rPr>
        <w:t xml:space="preserve">to%20cure%20their%20serious%20illness</w:t>
      </w:r>
      <w:r w:rsidDel="00000000" w:rsidR="00000000" w:rsidRPr="00000000">
        <w:rPr>
          <w:rFonts w:ascii="Century Gothic" w:cs="Century Gothic" w:eastAsia="Century Gothic" w:hAnsi="Century Gothic"/>
          <w:highlight w:val="white"/>
          <w:rtl w:val="0"/>
        </w:rPr>
        <w:t xml:space="preserve">. Accessed 13 Apr. 2024.</w:t>
      </w:r>
    </w:p>
    <w:p w:rsidR="00000000" w:rsidDel="00000000" w:rsidP="00000000" w:rsidRDefault="00000000" w:rsidRPr="00000000" w14:paraId="000001E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Wood, Danielle. “Drug diversion.” Drug diversion | NPS, 2015, https://www.nps.org.au/assets/8e69d4a6876421a3-1aa701b7198d-Drug-diversion.pdf. Accessed 18 May 2024.</w:t>
      </w:r>
    </w:p>
    <w:p w:rsidR="00000000" w:rsidDel="00000000" w:rsidP="00000000" w:rsidRDefault="00000000" w:rsidRPr="00000000" w14:paraId="000001E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“Opioid overdose.” World Health Organization (WHO), 29 August 2023, https://www.who.int/news-room/fact-sheets/detail/opioid-overdose. Accessed 18 May 2024.</w:t>
      </w:r>
    </w:p>
    <w:p w:rsidR="00000000" w:rsidDel="00000000" w:rsidP="00000000" w:rsidRDefault="00000000" w:rsidRPr="00000000" w14:paraId="000001E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E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Zhang, Phillip. “Practitioners And Prescriptive Authority - StatPearls.” NCBI, 2023, https://www.ncbi.nlm.nih.gov/books/NBK574557/. Accessed 18 May 2024.</w:t>
      </w:r>
    </w:p>
    <w:p w:rsidR="00000000" w:rsidDel="00000000" w:rsidP="00000000" w:rsidRDefault="00000000" w:rsidRPr="00000000" w14:paraId="000001E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F0">
      <w:pPr>
        <w:widowControl w:val="0"/>
        <w:spacing w:line="360" w:lineRule="auto"/>
        <w:jc w:val="both"/>
        <w:rPr>
          <w:rFonts w:ascii="Century Gothic" w:cs="Century Gothic" w:eastAsia="Century Gothic" w:hAnsi="Century Gothic"/>
          <w:highlight w:val="white"/>
        </w:rPr>
      </w:pPr>
      <w:r w:rsidDel="00000000" w:rsidR="00000000" w:rsidRPr="00000000">
        <w:rPr>
          <w:rtl w:val="0"/>
        </w:rPr>
      </w:r>
    </w:p>
    <w:sectPr>
      <w:headerReference r:id="rId24" w:type="default"/>
      <w:footerReference r:id="rId25" w:type="default"/>
      <w:type w:val="nextPage"/>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1">
    <w:pPr>
      <w:widowControl w:val="0"/>
      <w:tabs>
        <w:tab w:val="center" w:leader="none" w:pos="4320"/>
        <w:tab w:val="right" w:leader="none" w:pos="8640"/>
      </w:tabs>
      <w:spacing w:line="240" w:lineRule="auto"/>
      <w:jc w:val="righ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31</w:t>
    </w:r>
  </w:p>
  <w:p w:rsidR="00000000" w:rsidDel="00000000" w:rsidP="00000000" w:rsidRDefault="00000000" w:rsidRPr="00000000" w14:paraId="000001F2">
    <w:pPr>
      <w:widowControl w:val="0"/>
      <w:tabs>
        <w:tab w:val="center" w:leader="none" w:pos="4320"/>
        <w:tab w:val="right" w:leader="none" w:pos="8640"/>
      </w:tabs>
      <w:spacing w:line="240" w:lineRule="auto"/>
      <w:jc w:val="right"/>
      <w:rPr>
        <w:rFonts w:ascii="Century Gothic" w:cs="Century Gothic" w:eastAsia="Century Gothic" w:hAnsi="Century Gothic"/>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C">
    <w:pPr>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22" Type="http://schemas.openxmlformats.org/officeDocument/2006/relationships/image" Target="media/image4.png"/><Relationship Id="rId21" Type="http://schemas.openxmlformats.org/officeDocument/2006/relationships/image" Target="media/image3.jpg"/><Relationship Id="rId24" Type="http://schemas.openxmlformats.org/officeDocument/2006/relationships/header" Target="header5.xml"/><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cef.org/protection/children-recruited-by-armed-forces" TargetMode="External"/><Relationship Id="rId25" Type="http://schemas.openxmlformats.org/officeDocument/2006/relationships/footer" Target="footer5.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accord.org.za/conflict-trends/understanding-recruitment-child-soldiers-africa/" TargetMode="External"/><Relationship Id="rId8" Type="http://schemas.openxmlformats.org/officeDocument/2006/relationships/hyperlink" Target="https://childrenandarmedconflict.un.org/home/map-2020/?utm_source=chatgpt.com" TargetMode="External"/><Relationship Id="rId11" Type="http://schemas.openxmlformats.org/officeDocument/2006/relationships/hyperlink" Target="https://docs.un.org/en/S/2025/247" TargetMode="External"/><Relationship Id="rId10" Type="http://schemas.openxmlformats.org/officeDocument/2006/relationships/hyperlink" Target="https://www.unicef.org/iraq/press-releases/not-new-normal-2024-one-worst-years-unicefs-history-children-conflict" TargetMode="External"/><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footer" Target="footer3.xml"/><Relationship Id="rId16" Type="http://schemas.openxmlformats.org/officeDocument/2006/relationships/header" Target="header3.xml"/><Relationship Id="rId19" Type="http://schemas.openxmlformats.org/officeDocument/2006/relationships/footer" Target="footer4.xml"/><Relationship Id="rId18"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