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International Court of Justice (ICJ)</w:t>
      </w:r>
      <w:r w:rsidDel="00000000" w:rsidR="00000000" w:rsidRPr="00000000">
        <w:rPr>
          <w:rtl w:val="0"/>
        </w:rPr>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w:t>
      </w:r>
      <w:r w:rsidDel="00000000" w:rsidR="00000000" w:rsidRPr="00000000">
        <w:rPr>
          <w:rFonts w:ascii="Century Gothic" w:cs="Century Gothic" w:eastAsia="Century Gothic" w:hAnsi="Century Gothic"/>
          <w:rtl w:val="0"/>
        </w:rPr>
        <w:t xml:space="preserve">Application</w:t>
      </w:r>
      <w:r w:rsidDel="00000000" w:rsidR="00000000" w:rsidRPr="00000000">
        <w:rPr>
          <w:rFonts w:ascii="Century Gothic" w:cs="Century Gothic" w:eastAsia="Century Gothic" w:hAnsi="Century Gothic"/>
          <w:rtl w:val="0"/>
        </w:rPr>
        <w:t xml:space="preserve"> of the Convention on the Prevention and Punishment of the Crime of Genocide in the Gaza Strip (South Africa v. Israel)</w:t>
      </w:r>
      <w:r w:rsidDel="00000000" w:rsidR="00000000" w:rsidRPr="00000000">
        <w:rPr>
          <w:rtl w:val="0"/>
        </w:rPr>
      </w:r>
    </w:p>
    <w:p w:rsidR="00000000" w:rsidDel="00000000" w:rsidP="00000000" w:rsidRDefault="00000000" w:rsidRPr="00000000" w14:paraId="00000003">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Alejandro Vega and Luciana Mendez </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Chair</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of the United Nations International Court of Justice</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43600" cy="3962400"/>
            <wp:effectExtent b="0" l="0" r="0" t="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943600" cy="3962400"/>
                    </a:xfrm>
                    <a:prstGeom prst="rect"/>
                    <a:ln/>
                  </pic:spPr>
                </pic:pic>
              </a:graphicData>
            </a:graphic>
          </wp:inline>
        </w:drawing>
      </w:r>
      <w:r w:rsidDel="00000000" w:rsidR="00000000" w:rsidRPr="00000000">
        <w:rPr>
          <w:rFonts w:ascii="Century Gothic" w:cs="Century Gothic" w:eastAsia="Century Gothic" w:hAnsi="Century Gothic"/>
          <w:rtl w:val="0"/>
        </w:rPr>
        <w:t xml:space="preserve">”Republic of South Africa institutes proceedings against the State of Israel and requests the Court to indicate provisional measures." -The Pan Afrikanist </w:t>
      </w:r>
    </w:p>
    <w:p w:rsidR="00000000" w:rsidDel="00000000" w:rsidP="00000000" w:rsidRDefault="00000000" w:rsidRPr="00000000" w14:paraId="00000008">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https://thepanafrikanist.com/republic-of-south-africa-institutes-proceedings-against-the-state-of-israel-and-requests-the-court-to-indicate-provisional-measures</w:t>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B">
      <w:pPr>
        <w:pageBreakBefore w:val="0"/>
        <w:widowControl w:val="0"/>
        <w:spacing w:after="0" w:line="360" w:lineRule="auto"/>
        <w:jc w:val="both"/>
        <w:rPr>
          <w:rFonts w:ascii="Century Gothic" w:cs="Century Gothic" w:eastAsia="Century Gothic" w:hAnsi="Century Gothic"/>
          <w:color w:val="0000ff"/>
        </w:rPr>
      </w:pPr>
      <w:r w:rsidDel="00000000" w:rsidR="00000000" w:rsidRPr="00000000">
        <w:rPr>
          <w:rtl w:val="0"/>
        </w:rPr>
      </w:r>
    </w:p>
    <w:p w:rsidR="00000000" w:rsidDel="00000000" w:rsidP="00000000" w:rsidRDefault="00000000" w:rsidRPr="00000000" w14:paraId="0000000C">
      <w:pPr>
        <w:pageBreakBefore w:val="0"/>
        <w:widowControl w:val="0"/>
        <w:spacing w:after="0" w:line="360" w:lineRule="auto"/>
        <w:jc w:val="both"/>
        <w:rPr>
          <w:rFonts w:ascii="Century Gothic" w:cs="Century Gothic" w:eastAsia="Century Gothic" w:hAnsi="Century Gothic"/>
          <w:color w:val="0000ff"/>
        </w:rPr>
      </w:pPr>
      <w:r w:rsidDel="00000000" w:rsidR="00000000" w:rsidRPr="00000000">
        <w:rPr>
          <w:rtl w:val="0"/>
        </w:rPr>
      </w:r>
    </w:p>
    <w:p w:rsidR="00000000" w:rsidDel="00000000" w:rsidP="00000000" w:rsidRDefault="00000000" w:rsidRPr="00000000" w14:paraId="0000000D">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E">
      <w:pPr>
        <w:pageBreakBefore w:val="0"/>
        <w:widowControl w:val="0"/>
        <w:spacing w:after="0" w:line="360" w:lineRule="auto"/>
        <w:jc w:val="both"/>
        <w:rPr>
          <w:rFonts w:ascii="Century Gothic" w:cs="Century Gothic" w:eastAsia="Century Gothic" w:hAnsi="Century Gothic"/>
          <w:highlight w:val="yellow"/>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F">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December 9th, 1948, the United Nations General Assembly adopted the Convention on the Prevention and Punishment of the Crime of Genocide. This convention saw genocide as a “</w:t>
      </w:r>
      <w:r w:rsidDel="00000000" w:rsidR="00000000" w:rsidRPr="00000000">
        <w:rPr>
          <w:rFonts w:ascii="Century Gothic" w:cs="Century Gothic" w:eastAsia="Century Gothic" w:hAnsi="Century Gothic"/>
          <w:i w:val="1"/>
          <w:iCs w:val="1"/>
          <w:rtl w:val="0"/>
        </w:rPr>
        <w:t xml:space="preserve">crime under international law, contrary to the spirit and aims of the United Nations and condemned by the civilized world" (</w:t>
      </w:r>
      <w:r w:rsidDel="00000000" w:rsidR="00000000" w:rsidRPr="00000000">
        <w:rPr>
          <w:rFonts w:ascii="Century Gothic" w:cs="Century Gothic" w:eastAsia="Century Gothic" w:hAnsi="Century Gothic"/>
          <w:rtl w:val="0"/>
        </w:rPr>
        <w:t xml:space="preserve">1948 Convention on the Prevention and Punishment of the Crime of Genocide in the Gaza Strip</w:t>
      </w:r>
      <w:r w:rsidDel="00000000" w:rsidR="00000000" w:rsidRPr="00000000">
        <w:rPr>
          <w:rFonts w:ascii="Century Gothic" w:cs="Century Gothic" w:eastAsia="Century Gothic" w:hAnsi="Century Gothic"/>
          <w:rtl w:val="0"/>
        </w:rPr>
        <w:t xml:space="preserve">). Since it came into effect in 1951, 154 parties have ratified it (United Nations Treaty Collection), and are now legally bound to uphold its values and frameworks to prevent genocidal acts with the intent to destroy a particular group, thereby promoting the development of human rights worldwide. Punishable acts include genocide, </w:t>
      </w:r>
      <w:r w:rsidDel="00000000" w:rsidR="00000000" w:rsidRPr="00000000">
        <w:rPr>
          <w:rFonts w:ascii="Century Gothic" w:cs="Century Gothic" w:eastAsia="Century Gothic" w:hAnsi="Century Gothic"/>
          <w:rtl w:val="0"/>
        </w:rPr>
        <w:t xml:space="preserve">defined by the convention as “</w:t>
      </w:r>
      <w:r w:rsidDel="00000000" w:rsidR="00000000" w:rsidRPr="00000000">
        <w:rPr>
          <w:rFonts w:ascii="Century Gothic" w:cs="Century Gothic" w:eastAsia="Century Gothic" w:hAnsi="Century Gothic"/>
          <w:rtl w:val="0"/>
        </w:rPr>
        <w:t xml:space="preserve">means any of the following acts committed with intent to destroy, in whole or in part, a national, ethnical, racial or religious group, as such: (a) Killing members of the group; (b) Causing serious bodily or mental harm to members of the group; (c) Deliberately inflicting on the group conditions of life calculated to bring about its physical destruction in whole or in part; (d) Imposing measures intended to prevent births within the group; (e) Forcibly transferring children of the group to another group.”)</w:t>
      </w:r>
      <w:r w:rsidDel="00000000" w:rsidR="00000000" w:rsidRPr="00000000">
        <w:rPr>
          <w:rFonts w:ascii="Century Gothic" w:cs="Century Gothic" w:eastAsia="Century Gothic" w:hAnsi="Century Gothic"/>
          <w:rtl w:val="0"/>
        </w:rPr>
        <w:t xml:space="preserve">, conspiracy to commit genocide, direct and public incitement to commit genocide, attempt to commit genocide, and complicity in genocide (United Nations). Israel ratified the treaty on March 9th, 1950, as did South Africa on December 10th, 1998. Article IX of such a framework outlines that “Disp</w:t>
      </w:r>
      <w:r w:rsidDel="00000000" w:rsidR="00000000" w:rsidRPr="00000000">
        <w:rPr>
          <w:rFonts w:ascii="Century Gothic" w:cs="Century Gothic" w:eastAsia="Century Gothic" w:hAnsi="Century Gothic"/>
          <w:color w:val="4a4a4a"/>
          <w:rtl w:val="0"/>
        </w:rPr>
        <w:t xml:space="preserve">utes between the Contracting Parties [regarding] the present Convention[...] shall be submitted to the International Court of Justice at the request of any of the parties to the dispute.</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10">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October 7th, 2023, the militant group Hamas launched a deadly coordinated offensive on Israel, resulting in the deaths of 1200 people and the abduction of 240 people (Britannica). Responding to this, on October 9th, Israel declared a complete siege of the Gaza Strip, cutting off electricity, food supply, fuel, and even water, leading to the absolute devastation of civilians, actions that far exceed the means of traditional warfare as they actively deny the rights of innocent civilians (Aosheng Pusztaszeri and Harding). Israel launched a large-scale military aggression that took control of the gaza strip by land, sea and air, which has since led to the widespread loss of life, with about 75,200 people dead (PRIO), the destruction of most infrastructure, with satellite imagery indicating that about 81% of the area has been damaged (UNISPAL), and the displacement of 90% of the population of Gaza, as of 2025 (British Red Cross).</w:t>
      </w:r>
    </w:p>
    <w:p w:rsidR="00000000" w:rsidDel="00000000" w:rsidP="00000000" w:rsidRDefault="00000000" w:rsidRPr="00000000" w14:paraId="00000011">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2">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light of such devastating events, South Africa filed their claim against Israel on December 29th, 2023, accusing it of </w:t>
      </w:r>
      <w:r w:rsidDel="00000000" w:rsidR="00000000" w:rsidRPr="00000000">
        <w:rPr>
          <w:rFonts w:ascii="Century Gothic" w:cs="Century Gothic" w:eastAsia="Century Gothic" w:hAnsi="Century Gothic"/>
          <w:color w:val="202224"/>
          <w:rtl w:val="0"/>
        </w:rPr>
        <w:t xml:space="preserve">"acts and omissions" by Israel "[that] are genocidal in character because they are intended to bring about the destruction of a substantial part of the Palestinian national, racial, and ethnic group." (ICJ, 2023). </w:t>
      </w:r>
      <w:r w:rsidDel="00000000" w:rsidR="00000000" w:rsidRPr="00000000">
        <w:rPr>
          <w:rFonts w:ascii="Century Gothic" w:cs="Century Gothic" w:eastAsia="Century Gothic" w:hAnsi="Century Gothic"/>
          <w:color w:val="202224"/>
          <w:rtl w:val="0"/>
        </w:rPr>
        <w:t xml:space="preserve">The aforementioned Article IX allows South Africa to intervene in the name of all the other parties to the convention and hold Israel legally accountable for the events, despite not being one of the directly affected parties and being geographically and culturally distant from local realities, a basis on which Israel has used (with no results) to question the jurisdiction of South Africa and the ICJ in this case. </w:t>
      </w:r>
      <w:r w:rsidDel="00000000" w:rsidR="00000000" w:rsidRPr="00000000">
        <w:rPr>
          <w:rFonts w:ascii="Century Gothic" w:cs="Century Gothic" w:eastAsia="Century Gothic" w:hAnsi="Century Gothic"/>
          <w:color w:val="202224"/>
          <w:rtl w:val="0"/>
        </w:rPr>
        <w:t xml:space="preserve">Under the legal concept of </w:t>
      </w:r>
      <w:commentRangeStart w:id="0"/>
      <w:r w:rsidDel="00000000" w:rsidR="00000000" w:rsidRPr="00000000">
        <w:rPr>
          <w:rFonts w:ascii="Century Gothic" w:cs="Century Gothic" w:eastAsia="Century Gothic" w:hAnsi="Century Gothic"/>
          <w:i w:val="1"/>
          <w:iCs w:val="1"/>
          <w:color w:val="202224"/>
          <w:rtl w:val="0"/>
        </w:rPr>
        <w:t xml:space="preserve">Dolus Specialis</w:t>
      </w:r>
      <w:commentRangeEnd w:id="0"/>
      <w:r w:rsidDel="00000000" w:rsidR="00000000" w:rsidRPr="00000000">
        <w:commentReference w:id="0"/>
      </w:r>
      <w:r w:rsidDel="00000000" w:rsidR="00000000" w:rsidRPr="00000000">
        <w:rPr>
          <w:rFonts w:ascii="Century Gothic" w:cs="Century Gothic" w:eastAsia="Century Gothic" w:hAnsi="Century Gothic"/>
          <w:i w:val="1"/>
          <w:iCs w:val="1"/>
          <w:color w:val="202224"/>
          <w:rtl w:val="0"/>
        </w:rPr>
        <w:t xml:space="preserve">, South</w:t>
      </w:r>
      <w:r w:rsidDel="00000000" w:rsidR="00000000" w:rsidRPr="00000000">
        <w:rPr>
          <w:rFonts w:ascii="Century Gothic" w:cs="Century Gothic" w:eastAsia="Century Gothic" w:hAnsi="Century Gothic"/>
          <w:color w:val="202224"/>
          <w:rtl w:val="0"/>
        </w:rPr>
        <w:t xml:space="preserve"> Africa presents claims of genocidal intent for the eradication of the ethnic group, represented through statements by high-ranking Israeli officials, which they consider to be definitive of intention for genocide (Shola Lawal, Al Jazeera). The </w:t>
      </w:r>
      <w:r w:rsidDel="00000000" w:rsidR="00000000" w:rsidRPr="00000000">
        <w:rPr>
          <w:rFonts w:ascii="Century Gothic" w:cs="Century Gothic" w:eastAsia="Century Gothic" w:hAnsi="Century Gothic"/>
          <w:color w:val="121212"/>
          <w:highlight w:val="white"/>
          <w:rtl w:val="0"/>
        </w:rPr>
        <w:t xml:space="preserve">United Nations commission of inquiry on the occupied Palestinian territories and Israel has conducted a series of studies on the ground, with South African senior justice Navi Pillay stating, “The commission concludes that statements made by Israeli authorities are direct evidence of genocidal intent [and] also concludes that the pattern of conduct is circumstantial evidence for genocidal intent." As for genocidal actions, the independent commission has found Israel guilty of four out of the five actions considered by the convention as genocidal, such as killing, with, as of September 2025, an estimated 83% of the casualties being civilian; the causing of serious bodily or mental harm with the treatment of prisoners; deliberately inflicting on the group conditions of life calculated to bring about its physical destruction in whole or in part with the majority of infrastructure destroyed, and lastly, imposing measures to prevent births with the targeting of IVF clinics (The Guardian, 2025). Israel, in turn, denies any such allegations of genocide in the region, calling accusations baseless and a hindrance to their ability to protect their sovereignty from foreign threats, considering Hamas an existential harm to their future stability and therefore an enemy that must be destroyed by the means necessary (Israel’s observations of request, 2024). "The accusation of genocide against Israel is not only wholly unfounded as a matter of fact and law, but it is also morally repugnant [and]antisemitic" (Israel Ministry of Foreign Affairs). South Africa applied for a series of nine provisional measures with its initial request to open the case. In January of 2024, the International Court of Justice found the risk of genocide plausible (while not issuing a ruling). It instituted a series of provisional measures for Israel to do everything in its power to prevent the heinous act from occurring under the framework of the 1948 Convention, as well as Israel’s enablement of widely distributed basic services and the provision of humanitarian aid. In May of 2024, South Africa requested the modification of these and the implementation of more based on growing concerns of a humanitarian crisis in the Gaza city of Rafah, which at the time was at great risk of an on-the-ground occupation. While the ICJ noted that the city was in a  “perilous” state, it denied the application of further measures (European University Institute). As international concern grows over a worsening situation, including the risks of a man-made famine, the fragile health of civilians, and the lack of effective ceasefires, 18 nations, including Mexico, Libya, Ireland, and Bolivia, have filed official requests for intervention in this case. The United States, Hungary, and Fiji seek to support Israel’s innocence, while Iceland, Namibia, Colombia, and the Netherlands have taken a severe stance against it (The National). Since 2024, no new provisional measures have been instituted, and the court is now in the phase of written proceedings, as South Africa submitted its memorial on the 28th of October of 2024 (DIRCO), and Israel, after a series of deadline extensions, has submitted its countermemorial as of March 14th, 2026.</w:t>
      </w:r>
      <w:r w:rsidDel="00000000" w:rsidR="00000000" w:rsidRPr="00000000">
        <w:rPr>
          <w:rtl w:val="0"/>
        </w:rPr>
      </w:r>
    </w:p>
    <w:p w:rsidR="00000000" w:rsidDel="00000000" w:rsidP="00000000" w:rsidRDefault="00000000" w:rsidRPr="00000000" w14:paraId="00000013">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4">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5">
      <w:pPr>
        <w:spacing w:after="0" w:line="360" w:lineRule="auto"/>
        <w:ind w:left="0" w:firstLine="0"/>
        <w:jc w:val="both"/>
        <w:rPr>
          <w:rFonts w:ascii="Century Gothic" w:cs="Century Gothic" w:eastAsia="Century Gothic" w:hAnsi="Century Gothic"/>
          <w:b w:val="1"/>
          <w:bCs w:val="1"/>
          <w:color w:val="0000ff"/>
        </w:rPr>
      </w:pPr>
      <w:commentRangeStart w:id="1"/>
      <w:r w:rsidDel="00000000" w:rsidR="00000000" w:rsidRPr="00000000">
        <w:rPr>
          <w:rFonts w:ascii="Century Gothic" w:cs="Century Gothic" w:eastAsia="Century Gothic" w:hAnsi="Century Gothic"/>
          <w:b w:val="1"/>
          <w:bCs w:val="1"/>
          <w:color w:val="0000ff"/>
          <w:rtl w:val="0"/>
        </w:rPr>
        <w:t xml:space="preserve">Case in Context</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1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Court of Justice (ICJ) case regarding South Africa's instituted procedures against the state of Israel (Republic of South Africa v. The State of Israel), requesting the court to establish punishing procedures against the state of Israel (ICJ). The case arises from the ongoing conflict between Israel and Palestine, more specifically in the Gaza Strip.  This has been a point of tension since the establishment of the state of Israel in 1948 (Office of the Historian).</w:t>
      </w:r>
    </w:p>
    <w:p w:rsidR="00000000" w:rsidDel="00000000" w:rsidP="00000000" w:rsidRDefault="00000000" w:rsidRPr="00000000" w14:paraId="00000017">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Gaza Strip is a densely populated area with approximately 845,000 citizens (World Population Review). It's been governed by Hamas since 2007. The region has been under a constant Israeli blockade. However, tensions only rose after the attacks carried out by Hamas on October 7th, 2023, which resulted in the deaths of many Israeli civilians, with many more being held hostage by the state (Britannica). In response, the state of Israel launched a large-scale military operation aimed at dismantling Hamas.</w:t>
      </w:r>
    </w:p>
    <w:p w:rsidR="00000000" w:rsidDel="00000000" w:rsidP="00000000" w:rsidRDefault="00000000" w:rsidRPr="00000000" w14:paraId="00000019">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conflict has caused significant humanitarian and infrastructural damage within the Gaza Strip. Large portions of civilian infrastructure, including homes and essential services, have been damaged or destroyed, contributing to a severe humanitarian crisis marked by shortages of food, water, and medical supplies. The scale of destruction has led to the displacement of hundreds of thousands of Palestinian civilians, while Israeli civilians have also been affected through loss of life, injuries, and ongoing security threats following the October 7th attacks (Lawfare), (UN). Aside from its effects on the region, the conflict has further international implications, increasing political tensions and drawing global attention to the application of international law. Negative outcomes include escalation of violence, worsening humanitarian conditions, and deepening political divisions (Atlantic Council).</w:t>
      </w:r>
    </w:p>
    <w:p w:rsidR="00000000" w:rsidDel="00000000" w:rsidP="00000000" w:rsidRDefault="00000000" w:rsidRPr="00000000" w14:paraId="0000001B">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December 2023, South Africa brought the case before the International Court of Justice (ICJ), alleging that Israel's military actions in Gaza constitute violations of the Convention on the Prevention and Punishment of the Crime of Genocide. South Africa argues that the scale of civilian casualties, destruction of infrastructure, and humanitarian crisis indicate acts that could fall under the definition of genocide. Including the intent to destroy, in whole or in part, a national, ethnic, racial, or religious group (ICJ). </w:t>
      </w:r>
    </w:p>
    <w:p w:rsidR="00000000" w:rsidDel="00000000" w:rsidP="00000000" w:rsidRDefault="00000000" w:rsidRPr="00000000" w14:paraId="0000001D">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Israel has rejected these allegations consistently; the state asserts that its actions are acts of self-defense following the October 7 attack and that it is targeting Hamas, not the Palestinian population. Israel also argues that it is taking measures to minimize civilian harm and facilitate humanitarian aid, while accusing Hamas of using civilians as “human shields” (United Nations Office for the Coordination of Humanitarian Affairs (OCHA)).</w:t>
      </w:r>
    </w:p>
    <w:p w:rsidR="00000000" w:rsidDel="00000000" w:rsidP="00000000" w:rsidRDefault="00000000" w:rsidRPr="00000000" w14:paraId="0000001F">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ICJ, the principal judicial organ of the United Nations, does not determine criminal guilt but rather assesses a state's responsibility under international law. In January 2024, the court issued provisional measures and ordered Israel to take steps to prevent acts that could be considered to fall under the genocide convention and to ensure the provision of humanitarian aid to civilians in Gaza (ICJ). </w:t>
      </w:r>
    </w:p>
    <w:p w:rsidR="00000000" w:rsidDel="00000000" w:rsidP="00000000" w:rsidRDefault="00000000" w:rsidRPr="00000000" w14:paraId="00000021">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Several challenges have limited efforts to resolve the conflict and address the legal issues raised in this case; a major obstacle is the disagreement between states over whether the situation constitutes genocide under the Convention on the Prevention and Punishment of the Crime of Genocide, which complicates international consensus. Additionally, the ongoing nature of the conflict makes cooperation and implementation of legal measures difficult. The International Court of Justice also lacks direct enforcement power, meaning that compliance with its rulings depends largely on the willingness of states. Political interests and alliances further contribute to divisions within the international community, making coordinated action more challenging (QIL).</w:t>
      </w:r>
    </w:p>
    <w:p w:rsidR="00000000" w:rsidDel="00000000" w:rsidP="00000000" w:rsidRDefault="00000000" w:rsidRPr="00000000" w14:paraId="00000023">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case is widely significant, not only for the legal impact it has under the genocide convention but also for its broader geopolitical impact; it highlights ongoing debates about the definition of genocide, the responsibilities of states during armed conflicts, and the role of international courts when addressing humanitarian crises.</w:t>
      </w:r>
    </w:p>
    <w:p w:rsidR="00000000" w:rsidDel="00000000" w:rsidP="00000000" w:rsidRDefault="00000000" w:rsidRPr="00000000" w14:paraId="00000025">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7">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Authority of the Court</w:t>
      </w:r>
      <w:r w:rsidDel="00000000" w:rsidR="00000000" w:rsidRPr="00000000">
        <w:rPr>
          <w:rtl w:val="0"/>
        </w:rPr>
      </w:r>
    </w:p>
    <w:p w:rsidR="00000000" w:rsidDel="00000000" w:rsidP="00000000" w:rsidRDefault="00000000" w:rsidRPr="00000000" w14:paraId="0000002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Court of Justice is an international organ that operates under two main legal thresholds:</w:t>
      </w:r>
    </w:p>
    <w:p w:rsidR="00000000" w:rsidDel="00000000" w:rsidP="00000000" w:rsidRDefault="00000000" w:rsidRPr="00000000" w14:paraId="00000029">
      <w:pPr>
        <w:widowControl w:val="0"/>
        <w:numPr>
          <w:ilvl w:val="0"/>
          <w:numId w:val="1"/>
        </w:numPr>
        <w:spacing w:after="0"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t>
      </w:r>
      <w:r w:rsidDel="00000000" w:rsidR="00000000" w:rsidRPr="00000000">
        <w:rPr>
          <w:rFonts w:ascii="Century Gothic" w:cs="Century Gothic" w:eastAsia="Century Gothic" w:hAnsi="Century Gothic"/>
          <w:color w:val="333333"/>
          <w:highlight w:val="white"/>
          <w:rtl w:val="0"/>
        </w:rPr>
        <w:t xml:space="preserve">It decides, in accordance with international law, disputes of a legal nature that are submitted to it by States (jurisdiction in contentious cases)” (ICJ).</w:t>
      </w:r>
    </w:p>
    <w:p w:rsidR="00000000" w:rsidDel="00000000" w:rsidP="00000000" w:rsidRDefault="00000000" w:rsidRPr="00000000" w14:paraId="0000002A">
      <w:pPr>
        <w:widowControl w:val="0"/>
        <w:numPr>
          <w:ilvl w:val="0"/>
          <w:numId w:val="1"/>
        </w:numPr>
        <w:spacing w:after="0"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333333"/>
          <w:highlight w:val="white"/>
          <w:rtl w:val="0"/>
        </w:rPr>
        <w:t xml:space="preserve">“gives advisory opinions on legal questions at the request of the organs of the United Nations, specialized agencies, or a related organization authorized to make such a request (advisory jurisdiction)”(ICJ).</w:t>
      </w:r>
    </w:p>
    <w:p w:rsidR="00000000" w:rsidDel="00000000" w:rsidP="00000000" w:rsidRDefault="00000000" w:rsidRPr="00000000" w14:paraId="0000002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South Africa vs. Israel, consisting of accusations of violations of the 1948 Convention on the Prevention and Punishment of the Crime of Genocide, falls under the first category of a contentious case. Article IX of the Convention explicitly outlines that any given state party to the Convention has the right to submit a claim over the interpretation, application, and fulfillment of the framework by another state to the International Court of Justice, which established the organization’s jurisdiction for this topic. Within the Statute of the Court, a key part of the UN Charter that organizes the functioning of the ICJ, is Article 36, which outlines that its jurisdiction applies to any matters specifically provided for in a ratified treaty or convention establishing the supervision of the international tribunal (ICJ). “</w:t>
      </w:r>
      <w:r w:rsidDel="00000000" w:rsidR="00000000" w:rsidRPr="00000000">
        <w:rPr>
          <w:rFonts w:ascii="Century Gothic" w:cs="Century Gothic" w:eastAsia="Century Gothic" w:hAnsi="Century Gothic"/>
          <w:rtl w:val="0"/>
        </w:rPr>
        <w:t xml:space="preserve">The jurisdiction of the Court comprises all cases which the parties refer to it, and all matters specially provided for in the Charter of the United Nations or in treaties and conventions in force” (UN Charter). Out of the 287 agreements, protocols, and statutes, both bilateral and multilateral, that the ICJ considers under its jurisdiction, the 1948 convention at hand is clearly outlined (ICJ-treaties), giving South Africa the full legality to have submitted its </w:t>
      </w:r>
      <w:r w:rsidDel="00000000" w:rsidR="00000000" w:rsidRPr="00000000">
        <w:rPr>
          <w:rFonts w:ascii="Century Gothic" w:cs="Century Gothic" w:eastAsia="Century Gothic" w:hAnsi="Century Gothic"/>
          <w:i w:val="1"/>
          <w:iCs w:val="1"/>
          <w:rtl w:val="0"/>
        </w:rPr>
        <w:t xml:space="preserve">W</w:t>
      </w:r>
      <w:r w:rsidDel="00000000" w:rsidR="00000000" w:rsidRPr="00000000">
        <w:rPr>
          <w:rFonts w:ascii="Century Gothic" w:cs="Century Gothic" w:eastAsia="Century Gothic" w:hAnsi="Century Gothic"/>
          <w:i w:val="1"/>
          <w:iCs w:val="1"/>
          <w:rtl w:val="0"/>
        </w:rPr>
        <w:t xml:space="preserve">ritten Application Instituting Proceedings</w:t>
      </w:r>
      <w:r w:rsidDel="00000000" w:rsidR="00000000" w:rsidRPr="00000000">
        <w:rPr>
          <w:rFonts w:ascii="Century Gothic" w:cs="Century Gothic" w:eastAsia="Century Gothic" w:hAnsi="Century Gothic"/>
          <w:i w:val="1"/>
          <w:iCs w:val="1"/>
          <w:rtl w:val="0"/>
        </w:rPr>
        <w:t xml:space="preserve"> </w:t>
      </w:r>
      <w:r w:rsidDel="00000000" w:rsidR="00000000" w:rsidRPr="00000000">
        <w:rPr>
          <w:rFonts w:ascii="Century Gothic" w:cs="Century Gothic" w:eastAsia="Century Gothic" w:hAnsi="Century Gothic"/>
          <w:rtl w:val="0"/>
        </w:rPr>
        <w:t xml:space="preserve">on December 29, 2023, which initiated the series of ongoing legal proceedings between the two contentious states (Legal Tools Database).</w:t>
      </w:r>
    </w:p>
    <w:p w:rsidR="00000000" w:rsidDel="00000000" w:rsidP="00000000" w:rsidRDefault="00000000" w:rsidRPr="00000000" w14:paraId="0000002C">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D">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widowControl w:val="0"/>
        <w:spacing w:after="0" w:line="360" w:lineRule="auto"/>
        <w:jc w:val="both"/>
        <w:rPr>
          <w:rFonts w:ascii="Century Gothic" w:cs="Century Gothic" w:eastAsia="Century Gothic" w:hAnsi="Century Gothic"/>
          <w:b w:val="1"/>
          <w:bCs w:val="1"/>
          <w:color w:val="0000ff"/>
        </w:rPr>
      </w:pPr>
      <w:commentRangeStart w:id="2"/>
      <w:r w:rsidDel="00000000" w:rsidR="00000000" w:rsidRPr="00000000">
        <w:rPr>
          <w:rFonts w:ascii="Century Gothic" w:cs="Century Gothic" w:eastAsia="Century Gothic" w:hAnsi="Century Gothic"/>
          <w:b w:val="1"/>
          <w:bCs w:val="1"/>
          <w:color w:val="0000ff"/>
          <w:rtl w:val="0"/>
        </w:rPr>
        <w:t xml:space="preserve">Questions a Judgment Should Ask</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2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the prosecution, represented by South Africa, the judgment should initially seek to clarify whether the military operations carried out by the State of Israel in the Gaza Strip constitute violations of the Convention on the Prevention and Punishment of the Crime of Genocide. This can be done by asking whether sufficient evidence exists to demonstrate genocidal intent against the Palestinian people. Once this has been established, the judgment should move to understand the proportionality and legality of Israel’s military actions by questioning whether the scale of civilian casualties, destruction of infrastructure, and humanitarian restrictions exceeds what is permitted under international humanitarian law. Additionally, the judgment should attempt to further understand and seek clarification regarding Israel’s compliance with the provisional measures issued by the International Court of Justice and whether adequate steps have been taken to comply with such measures in order to prevent acts that could fall under the Genocide Convention. The judgment should also examine and analyze the humanitarian impact of the conflict by asking whether Israel has sufficiently ensured the delivery of humanitarian aid and adequately protected civilians throughout the various military operations. Finally, the judgment should seek to understand the broader international implications of the case by asking how the interpretation of genocide in this dispute may affect future applications of international law and state accountability during armed conflicts.</w:t>
      </w:r>
    </w:p>
    <w:p w:rsidR="00000000" w:rsidDel="00000000" w:rsidP="00000000" w:rsidRDefault="00000000" w:rsidRPr="00000000" w14:paraId="00000030">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for the defense, represented by Israel, the judgment should first attempt to question whether Israel’s military actions constitute lawful acts of self-defense following the October 7, 2023, attacks carried out by Hamas. The judgment should seek to clarify whether Hamas’ actions as a non-state actor, including the alleged use of civilians as human shields, affect Israel’s legal responsibilities under international law. Additionally, the judgment should examine whether genocidal intent can be established if the stated objective of the Israeli military campaign is the dismantling of Hamas rather than the destruction of the Palestinian population. The judgment should also seek to determine whether the measures taken by Israel to minimize civilian harm are sufficient under international humanitarian law. Lastly, the judgment should seek to understand whether Israel’s obligations under international humanitarian law can be balanced with its responsibility to ensure national security and protect its civilian population from future attacks.</w:t>
      </w:r>
    </w:p>
    <w:p w:rsidR="00000000" w:rsidDel="00000000" w:rsidP="00000000" w:rsidRDefault="00000000" w:rsidRPr="00000000" w14:paraId="00000032">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4">
      <w:pPr>
        <w:widowControl w:val="0"/>
        <w:spacing w:after="0" w:line="360" w:lineRule="auto"/>
        <w:jc w:val="both"/>
        <w:rPr>
          <w:rFonts w:ascii="Century Gothic" w:cs="Century Gothic" w:eastAsia="Century Gothic" w:hAnsi="Century Gothic"/>
          <w:b w:val="1"/>
          <w:bCs w:val="1"/>
          <w:color w:val="0000ff"/>
        </w:rPr>
      </w:pPr>
      <w:commentRangeStart w:id="3"/>
      <w:r w:rsidDel="00000000" w:rsidR="00000000" w:rsidRPr="00000000">
        <w:rPr>
          <w:rFonts w:ascii="Century Gothic" w:cs="Century Gothic" w:eastAsia="Century Gothic" w:hAnsi="Century Gothic"/>
          <w:b w:val="1"/>
          <w:bCs w:val="1"/>
          <w:color w:val="0000ff"/>
          <w:rtl w:val="0"/>
        </w:rPr>
        <w:t xml:space="preserve">Side A (Prosecution</w:t>
      </w:r>
      <w:commentRangeEnd w:id="3"/>
      <w:r w:rsidDel="00000000" w:rsidR="00000000" w:rsidRPr="00000000">
        <w:commentReference w:id="3"/>
      </w:r>
      <w:r w:rsidDel="00000000" w:rsidR="00000000" w:rsidRPr="00000000">
        <w:rPr>
          <w:rFonts w:ascii="Century Gothic" w:cs="Century Gothic" w:eastAsia="Century Gothic" w:hAnsi="Century Gothic"/>
          <w:b w:val="1"/>
          <w:bCs w:val="1"/>
          <w:color w:val="0000ff"/>
          <w:rtl w:val="0"/>
        </w:rPr>
        <w:t xml:space="preserve">)</w:t>
      </w:r>
    </w:p>
    <w:p w:rsidR="00000000" w:rsidDel="00000000" w:rsidP="00000000" w:rsidRDefault="00000000" w:rsidRPr="00000000" w14:paraId="0000003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a nation fervently led by the principles of equality, non-discrimination, freedom, and the promotion of human rights, after its tumultuous but victorious fight against apartheid, South Africa stands appalled at the atrocities being carried out by Israel in the Gaza Strip. The nation seeks to uphold the principles of the 1948 Convention on the Prevention and Punishment of the Crime of Genocide to protect the Palestinian people from the active eradication of their population, infrastructure, and cultural identity. They condemn the disproportionate and indiscriminate use of force by Israel, with 6,000 bombs having hit the 140-square-mile area within only the first week of retaliation. (ICJ)(Britannica). In addition, the other determinants of genocide are found to be equally atrocious, with the displacement of millions and the accusation that humanitarian aid and necessities are not being allowed in due to a blockade. South Africa has called upon the international community to act in the face of these inhumane actions, upholding the founding principles of the United Nations, which are “</w:t>
      </w:r>
      <w:r w:rsidDel="00000000" w:rsidR="00000000" w:rsidRPr="00000000">
        <w:rPr>
          <w:rFonts w:ascii="Century Gothic" w:cs="Century Gothic" w:eastAsia="Century Gothic" w:hAnsi="Century Gothic"/>
          <w:rtl w:val="0"/>
        </w:rPr>
        <w:t xml:space="preserve">to save succeeding generations from the scourge of war and build a peaceful, prosperous and just world arising from the devastation brought about by global conflict” (General Assembly speech),</w:t>
      </w:r>
      <w:r w:rsidDel="00000000" w:rsidR="00000000" w:rsidRPr="00000000">
        <w:rPr>
          <w:rFonts w:ascii="Century Gothic" w:cs="Century Gothic" w:eastAsia="Century Gothic" w:hAnsi="Century Gothic"/>
          <w:rtl w:val="0"/>
        </w:rPr>
        <w:t xml:space="preserve"> according to President Cyril Ramaphosa. The nation has requested and established a series of provisional measures, such as immediately ceasing the military operation in Gaza, as well as the cessation of support to any other paramilitary groups affiliated with Israel. In addition, the cessation of all acts defined within Article 2 of the Convention defining genocide, taking measures to prevent displacement and unlawful expulsion from homes, taking measures to allow basic human resources like food, water, medicine, and hygiene products to enter the area for unadulterated distribution, and lastly, for Israel to ensure evidence in relation to the case is preserved.</w:t>
      </w:r>
    </w:p>
    <w:p w:rsidR="00000000" w:rsidDel="00000000" w:rsidP="00000000" w:rsidRDefault="00000000" w:rsidRPr="00000000" w14:paraId="00000036">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7">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widowControl w:val="0"/>
        <w:spacing w:after="0" w:line="360" w:lineRule="auto"/>
        <w:jc w:val="both"/>
        <w:rPr>
          <w:rFonts w:ascii="Century Gothic" w:cs="Century Gothic" w:eastAsia="Century Gothic" w:hAnsi="Century Gothic"/>
          <w:b w:val="1"/>
          <w:bCs w:val="1"/>
          <w:color w:val="0000ff"/>
        </w:rPr>
      </w:pPr>
      <w:commentRangeStart w:id="4"/>
      <w:r w:rsidDel="00000000" w:rsidR="00000000" w:rsidRPr="00000000">
        <w:rPr>
          <w:rFonts w:ascii="Century Gothic" w:cs="Century Gothic" w:eastAsia="Century Gothic" w:hAnsi="Century Gothic"/>
          <w:b w:val="1"/>
          <w:bCs w:val="1"/>
          <w:color w:val="0000ff"/>
          <w:rtl w:val="0"/>
        </w:rPr>
        <w:t xml:space="preserve">Side B (Defense</w:t>
      </w:r>
      <w:commentRangeEnd w:id="4"/>
      <w:r w:rsidDel="00000000" w:rsidR="00000000" w:rsidRPr="00000000">
        <w:commentReference w:id="4"/>
      </w:r>
      <w:r w:rsidDel="00000000" w:rsidR="00000000" w:rsidRPr="00000000">
        <w:rPr>
          <w:rFonts w:ascii="Century Gothic" w:cs="Century Gothic" w:eastAsia="Century Gothic" w:hAnsi="Century Gothic"/>
          <w:b w:val="1"/>
          <w:bCs w:val="1"/>
          <w:color w:val="0000ff"/>
          <w:rtl w:val="0"/>
        </w:rPr>
        <w:t xml:space="preserve">)</w:t>
      </w:r>
    </w:p>
    <w:p w:rsidR="00000000" w:rsidDel="00000000" w:rsidP="00000000" w:rsidRDefault="00000000" w:rsidRPr="00000000" w14:paraId="0000003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defense represented by Israel, the state, has firmly rejected the allegations presented by South Africa, arguing that the claims constitute a misinterpretation of the Convention on the Prevention and Punishment of the Crime of Genocide and fail to consider the context of the ongoing armed conflict initiated by the October 7, 2023, attacks. Israeli officials maintain that the military operations conducted in the gaza strip ate lawful acts of self-defense intended to dismantle Hamas's military capabilities and secure the safety of Israeli civilians rather than acts aimed at the destruction of a population.</w:t>
      </w:r>
    </w:p>
    <w:p w:rsidR="00000000" w:rsidDel="00000000" w:rsidP="00000000" w:rsidRDefault="00000000" w:rsidRPr="00000000" w14:paraId="0000003A">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Israel has also countered the accusations, emphasizing Hamas as a non-state armed actor operating within densely populated civilian areas, alongside allegations that Hamas utilizes civilian infrastructure, including hospitals and residential buildings, for military purposes. According to the defense, these circumstances complicate military operations and contribute to civilian casualties despite measures allegedly taken by Israel to minimize the harm.</w:t>
      </w:r>
    </w:p>
    <w:p w:rsidR="00000000" w:rsidDel="00000000" w:rsidP="00000000" w:rsidRDefault="00000000" w:rsidRPr="00000000" w14:paraId="0000003C">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response to the claims regarding violations of provisional measures issued by the International Court of Justice, Israel asserts that it has taken reasonable steps to comply with its international obligations while simultaneously protecting its national security interests. Additionally, Israel has rejected accusations that its military campaign constitutes collective punishment, arguing instead that its operations are directed exclusively at Hamas and associated military infrastructure. Lastly, the defense argues that establishing genocidal intent requires an exceptionally high evidentiary threshold under international law, which South Africa has allegedly failed to satisfy through its submission before the court.</w:t>
      </w:r>
    </w:p>
    <w:p w:rsidR="00000000" w:rsidDel="00000000" w:rsidP="00000000" w:rsidRDefault="00000000" w:rsidRPr="00000000" w14:paraId="0000003E">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F">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0">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4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appendix serves as a supplementary resource for delegates, providing additional context, key legal documents, case studies, and data relevant to the issue at hand. It is designed to support deeper understanding and more informed debate during conference sessions. Delegates are encouraged to refer to the appendix when formulating arguments or seeking clarification on complex legal matters. While not exhaustive, the materials included aim to guide effective and evidence-based participation in ICJ proceedings regarding the case Application of the Convention on the Prevention and Punishment of the Crime of Genocide in the Gaza Strip (South Africa v. Israel) before the International Court of Justice.</w:t>
      </w:r>
    </w:p>
    <w:p w:rsidR="00000000" w:rsidDel="00000000" w:rsidP="00000000" w:rsidRDefault="00000000" w:rsidRPr="00000000" w14:paraId="00000042">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3">
      <w:pPr>
        <w:widowControl w:val="0"/>
        <w:spacing w:after="0" w:line="360" w:lineRule="auto"/>
        <w:jc w:val="both"/>
        <w:rPr>
          <w:rFonts w:ascii="Century Gothic" w:cs="Century Gothic" w:eastAsia="Century Gothic" w:hAnsi="Century Gothic"/>
        </w:rPr>
      </w:pPr>
      <w:hyperlink r:id="rId9">
        <w:r w:rsidDel="00000000" w:rsidR="00000000" w:rsidRPr="00000000">
          <w:rPr>
            <w:rFonts w:ascii="Century Gothic" w:cs="Century Gothic" w:eastAsia="Century Gothic" w:hAnsi="Century Gothic"/>
            <w:color w:val="1155cc"/>
            <w:u w:val="single"/>
            <w:rtl w:val="0"/>
          </w:rPr>
          <w:t xml:space="preserve">https://www.icj-cij.org/case/192</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4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w:t>
      </w:r>
      <w:r w:rsidDel="00000000" w:rsidR="00000000" w:rsidRPr="00000000">
        <w:rPr>
          <w:rFonts w:ascii="Century Gothic" w:cs="Century Gothic" w:eastAsia="Century Gothic" w:hAnsi="Century Gothic"/>
          <w:rtl w:val="0"/>
        </w:rPr>
        <w:t xml:space="preserve"> This appendix provides the official case page for the Application of the Convention on the Prevention and Punishment of the Crime of Genocide in the Gaza Strip (South Africa v. Israel) before the International Court of Justice. Delegates may use this source to access official court filings, procedural updates, provisional measures, public hearings, and statements submitted by both parties throughout the proceedings.</w:t>
      </w:r>
    </w:p>
    <w:p w:rsidR="00000000" w:rsidDel="00000000" w:rsidP="00000000" w:rsidRDefault="00000000" w:rsidRPr="00000000" w14:paraId="00000045">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6">
      <w:pPr>
        <w:widowControl w:val="0"/>
        <w:spacing w:after="0" w:line="360" w:lineRule="auto"/>
        <w:jc w:val="both"/>
        <w:rPr>
          <w:rFonts w:ascii="Century Gothic" w:cs="Century Gothic" w:eastAsia="Century Gothic" w:hAnsi="Century Gothic"/>
        </w:rPr>
      </w:pPr>
      <w:hyperlink r:id="rId10">
        <w:r w:rsidDel="00000000" w:rsidR="00000000" w:rsidRPr="00000000">
          <w:rPr>
            <w:rFonts w:ascii="Century Gothic" w:cs="Century Gothic" w:eastAsia="Century Gothic" w:hAnsi="Century Gothic"/>
            <w:color w:val="1155cc"/>
            <w:u w:val="single"/>
            <w:rtl w:val="0"/>
          </w:rPr>
          <w:t xml:space="preserve">https://www.icj-cij.org/case/192</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4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B:</w:t>
      </w:r>
      <w:r w:rsidDel="00000000" w:rsidR="00000000" w:rsidRPr="00000000">
        <w:rPr>
          <w:rFonts w:ascii="Century Gothic" w:cs="Century Gothic" w:eastAsia="Century Gothic" w:hAnsi="Century Gothic"/>
          <w:rtl w:val="0"/>
        </w:rPr>
        <w:t xml:space="preserve"> This appendix summarizes the proceedings instituted by South Africa against Israel on December 29, 2023. Delegates may use this source to understand South Africa’s legal arguments regarding alleged violations of the Convention on the Prevention and Punishment of the Crime of Genocide, including the request for provisional measures and claims concerning genocidal intent and humanitarian conditions within the Gaza Strip.</w:t>
      </w:r>
    </w:p>
    <w:p w:rsidR="00000000" w:rsidDel="00000000" w:rsidP="00000000" w:rsidRDefault="00000000" w:rsidRPr="00000000" w14:paraId="00000048">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9">
      <w:pPr>
        <w:widowControl w:val="0"/>
        <w:spacing w:after="0" w:line="360" w:lineRule="auto"/>
        <w:jc w:val="both"/>
        <w:rPr>
          <w:rFonts w:ascii="Century Gothic" w:cs="Century Gothic" w:eastAsia="Century Gothic" w:hAnsi="Century Gothic"/>
        </w:rPr>
      </w:pPr>
      <w:hyperlink r:id="rId11">
        <w:r w:rsidDel="00000000" w:rsidR="00000000" w:rsidRPr="00000000">
          <w:rPr>
            <w:rFonts w:ascii="Century Gothic" w:cs="Century Gothic" w:eastAsia="Century Gothic" w:hAnsi="Century Gothic"/>
            <w:color w:val="1155cc"/>
            <w:u w:val="single"/>
            <w:rtl w:val="0"/>
          </w:rPr>
          <w:t xml:space="preserve">https://www.ohchr.org/en/instruments-mechanisms/instruments/convention-prevention-and-punishment-crime-genocide</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4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C:</w:t>
      </w:r>
      <w:r w:rsidDel="00000000" w:rsidR="00000000" w:rsidRPr="00000000">
        <w:rPr>
          <w:rFonts w:ascii="Century Gothic" w:cs="Century Gothic" w:eastAsia="Century Gothic" w:hAnsi="Century Gothic"/>
          <w:rtl w:val="0"/>
        </w:rPr>
        <w:t xml:space="preserve"> This appendix contains the full text of the Convention on the Prevention and Punishment of the Crime of Genocide adopted by the United Nations in 1948. Delegates may use this source to identify the legal definition of genocide, obligations of states under the Convention, and the evidentiary requirements necessary to establish genocidal intent under international law.</w:t>
      </w:r>
    </w:p>
    <w:p w:rsidR="00000000" w:rsidDel="00000000" w:rsidP="00000000" w:rsidRDefault="00000000" w:rsidRPr="00000000" w14:paraId="0000004B">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C">
      <w:pPr>
        <w:widowControl w:val="0"/>
        <w:spacing w:after="0" w:line="360" w:lineRule="auto"/>
        <w:jc w:val="both"/>
        <w:rPr>
          <w:rFonts w:ascii="Century Gothic" w:cs="Century Gothic" w:eastAsia="Century Gothic" w:hAnsi="Century Gothic"/>
        </w:rPr>
      </w:pPr>
      <w:hyperlink r:id="rId12">
        <w:r w:rsidDel="00000000" w:rsidR="00000000" w:rsidRPr="00000000">
          <w:rPr>
            <w:rFonts w:ascii="Century Gothic" w:cs="Century Gothic" w:eastAsia="Century Gothic" w:hAnsi="Century Gothic"/>
            <w:color w:val="1155cc"/>
            <w:u w:val="single"/>
            <w:rtl w:val="0"/>
          </w:rPr>
          <w:t xml:space="preserve">https://www.un.org/unispal/document/icj-provisional-measures-24may24/</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4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D:</w:t>
      </w:r>
      <w:r w:rsidDel="00000000" w:rsidR="00000000" w:rsidRPr="00000000">
        <w:rPr>
          <w:rFonts w:ascii="Century Gothic" w:cs="Century Gothic" w:eastAsia="Century Gothic" w:hAnsi="Century Gothic"/>
          <w:rtl w:val="0"/>
        </w:rPr>
        <w:t xml:space="preserve"> This appendix summarizes the provisional measures issued by the International Court of Justice regarding the conflict in Gaza. Delegates may use this source to understand the Court’s orders concerning the protection of civilians, the facilitation of humanitarian aid, and Israel’s obligations to prevent acts that could fall under the Genocide Convention while military operations remain ongoing.</w:t>
      </w:r>
    </w:p>
    <w:p w:rsidR="00000000" w:rsidDel="00000000" w:rsidP="00000000" w:rsidRDefault="00000000" w:rsidRPr="00000000" w14:paraId="0000004E">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F">
      <w:pPr>
        <w:widowControl w:val="0"/>
        <w:spacing w:after="0" w:line="360" w:lineRule="auto"/>
        <w:jc w:val="both"/>
        <w:rPr>
          <w:rFonts w:ascii="Century Gothic" w:cs="Century Gothic" w:eastAsia="Century Gothic" w:hAnsi="Century Gothic"/>
        </w:rPr>
      </w:pPr>
      <w:hyperlink r:id="rId13">
        <w:r w:rsidDel="00000000" w:rsidR="00000000" w:rsidRPr="00000000">
          <w:rPr>
            <w:rFonts w:ascii="Century Gothic" w:cs="Century Gothic" w:eastAsia="Century Gothic" w:hAnsi="Century Gothic"/>
            <w:color w:val="1155cc"/>
            <w:u w:val="single"/>
            <w:rtl w:val="0"/>
          </w:rPr>
          <w:t xml:space="preserve">https://www.aljazeera.com/news/2024/1/12/icj-genocide-case-what-are-israels-main-arguments</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50">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E:</w:t>
      </w:r>
      <w:r w:rsidDel="00000000" w:rsidR="00000000" w:rsidRPr="00000000">
        <w:rPr>
          <w:rFonts w:ascii="Century Gothic" w:cs="Century Gothic" w:eastAsia="Century Gothic" w:hAnsi="Century Gothic"/>
          <w:rtl w:val="0"/>
        </w:rPr>
        <w:t xml:space="preserve"> This appendix explains the primary legal arguments presented by Israel before the ICJ. Delegates may use this source to understand Israel’s defense regarding self-defense, the role of Hamas as a non-state actor, allegations concerning the use of civilians as human shields, and the argument that civilian casualties alone do not establish genocidal intent under international law.</w:t>
      </w:r>
    </w:p>
    <w:p w:rsidR="00000000" w:rsidDel="00000000" w:rsidP="00000000" w:rsidRDefault="00000000" w:rsidRPr="00000000" w14:paraId="00000051">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2">
      <w:pPr>
        <w:widowControl w:val="0"/>
        <w:spacing w:after="0" w:line="360" w:lineRule="auto"/>
        <w:jc w:val="both"/>
        <w:rPr>
          <w:rFonts w:ascii="Century Gothic" w:cs="Century Gothic" w:eastAsia="Century Gothic" w:hAnsi="Century Gothic"/>
        </w:rPr>
      </w:pPr>
      <w:hyperlink r:id="rId14">
        <w:r w:rsidDel="00000000" w:rsidR="00000000" w:rsidRPr="00000000">
          <w:rPr>
            <w:rFonts w:ascii="Century Gothic" w:cs="Century Gothic" w:eastAsia="Century Gothic" w:hAnsi="Century Gothic"/>
            <w:color w:val="1155cc"/>
            <w:u w:val="single"/>
            <w:rtl w:val="0"/>
          </w:rPr>
          <w:t xml:space="preserve">https://www.lawfaremedia.org/article/understanding-south-africa-v.-israel-at-the-international-court-of-justice</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5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F:</w:t>
      </w:r>
      <w:r w:rsidDel="00000000" w:rsidR="00000000" w:rsidRPr="00000000">
        <w:rPr>
          <w:rFonts w:ascii="Century Gothic" w:cs="Century Gothic" w:eastAsia="Century Gothic" w:hAnsi="Century Gothic"/>
          <w:rtl w:val="0"/>
        </w:rPr>
        <w:t xml:space="preserve"> This appendix provides a legal analysis of the ICJ proceedings between South Africa and Israel. Delegates may use this resource to gain a deeper understanding of the jurisdiction of the Court, procedural questions, standards of evidence for genocide claims, and the broader implications this case may have for future applications of international law and state accountability.</w:t>
      </w:r>
    </w:p>
    <w:p w:rsidR="00000000" w:rsidDel="00000000" w:rsidP="00000000" w:rsidRDefault="00000000" w:rsidRPr="00000000" w14:paraId="00000054">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5">
      <w:pPr>
        <w:widowControl w:val="0"/>
        <w:spacing w:after="0" w:line="360" w:lineRule="auto"/>
        <w:jc w:val="both"/>
        <w:rPr>
          <w:rFonts w:ascii="Century Gothic" w:cs="Century Gothic" w:eastAsia="Century Gothic" w:hAnsi="Century Gothic"/>
        </w:rPr>
      </w:pPr>
      <w:hyperlink r:id="rId15">
        <w:r w:rsidDel="00000000" w:rsidR="00000000" w:rsidRPr="00000000">
          <w:rPr>
            <w:rFonts w:ascii="Century Gothic" w:cs="Century Gothic" w:eastAsia="Century Gothic" w:hAnsi="Century Gothic"/>
            <w:color w:val="1155cc"/>
            <w:u w:val="single"/>
            <w:rtl w:val="0"/>
          </w:rPr>
          <w:t xml:space="preserve">https://www.un.org/unispal/history/</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5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G:</w:t>
      </w:r>
      <w:r w:rsidDel="00000000" w:rsidR="00000000" w:rsidRPr="00000000">
        <w:rPr>
          <w:rFonts w:ascii="Century Gothic" w:cs="Century Gothic" w:eastAsia="Century Gothic" w:hAnsi="Century Gothic"/>
          <w:rtl w:val="0"/>
        </w:rPr>
        <w:t xml:space="preserve"> This appendix provides a historical overview of the Israeli–Palestinian conflict and the development of the Question of Palestine within the United Nations system. Delegates may use this source to understand the historical origins of the dispute, previous conflicts in Gaza, and the broader political and humanitarian context surrounding the current proceedings before the ICJ.</w:t>
      </w:r>
    </w:p>
    <w:p w:rsidR="00000000" w:rsidDel="00000000" w:rsidP="00000000" w:rsidRDefault="00000000" w:rsidRPr="00000000" w14:paraId="00000057">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8">
      <w:pPr>
        <w:widowControl w:val="0"/>
        <w:spacing w:after="0" w:line="360" w:lineRule="auto"/>
        <w:jc w:val="both"/>
        <w:rPr>
          <w:rFonts w:ascii="Century Gothic" w:cs="Century Gothic" w:eastAsia="Century Gothic" w:hAnsi="Century Gothic"/>
        </w:rPr>
      </w:pPr>
      <w:hyperlink r:id="rId16">
        <w:r w:rsidDel="00000000" w:rsidR="00000000" w:rsidRPr="00000000">
          <w:rPr>
            <w:rFonts w:ascii="Century Gothic" w:cs="Century Gothic" w:eastAsia="Century Gothic" w:hAnsi="Century Gothic"/>
            <w:color w:val="1155cc"/>
            <w:u w:val="single"/>
            <w:rtl w:val="0"/>
          </w:rPr>
          <w:t xml:space="preserve">https://www.congress.gov/crs-product/R47828</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5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H:</w:t>
      </w:r>
      <w:r w:rsidDel="00000000" w:rsidR="00000000" w:rsidRPr="00000000">
        <w:rPr>
          <w:rFonts w:ascii="Century Gothic" w:cs="Century Gothic" w:eastAsia="Century Gothic" w:hAnsi="Century Gothic"/>
          <w:rtl w:val="0"/>
        </w:rPr>
        <w:t xml:space="preserve"> This appendix summarizes the Israel–Hamas conflict, including the October 7, 2023 attacks, regional implications, humanitarian concerns, and international responses. Delegates may use this source to understand the military, political, and diplomatic dimensions of the conflict, alongside its impact on regional stability and international relations.</w:t>
      </w:r>
    </w:p>
    <w:p w:rsidR="00000000" w:rsidDel="00000000" w:rsidP="00000000" w:rsidRDefault="00000000" w:rsidRPr="00000000" w14:paraId="0000005A">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B">
      <w:pPr>
        <w:widowControl w:val="0"/>
        <w:spacing w:after="0" w:line="360" w:lineRule="auto"/>
        <w:jc w:val="both"/>
        <w:rPr>
          <w:rFonts w:ascii="Century Gothic" w:cs="Century Gothic" w:eastAsia="Century Gothic" w:hAnsi="Century Gothic"/>
        </w:rPr>
      </w:pPr>
      <w:hyperlink r:id="rId17">
        <w:r w:rsidDel="00000000" w:rsidR="00000000" w:rsidRPr="00000000">
          <w:rPr>
            <w:rFonts w:ascii="Century Gothic" w:cs="Century Gothic" w:eastAsia="Century Gothic" w:hAnsi="Century Gothic"/>
            <w:color w:val="1155cc"/>
            <w:u w:val="single"/>
            <w:rtl w:val="0"/>
          </w:rPr>
          <w:t xml:space="preserve">https://www.unocha.org/</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5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I:</w:t>
      </w:r>
      <w:r w:rsidDel="00000000" w:rsidR="00000000" w:rsidRPr="00000000">
        <w:rPr>
          <w:rFonts w:ascii="Century Gothic" w:cs="Century Gothic" w:eastAsia="Century Gothic" w:hAnsi="Century Gothic"/>
          <w:rtl w:val="0"/>
        </w:rPr>
        <w:t xml:space="preserve"> This appendix provides humanitarian reports and updates regarding conditions within the Gaza Strip. Delegates may use this source to analyze the humanitarian impact of the conflict, including civilian displacement, infrastructure destruction, shortages of food and medical supplies, and ongoing humanitarian relief efforts carried out by international organizations.</w:t>
      </w:r>
    </w:p>
    <w:p w:rsidR="00000000" w:rsidDel="00000000" w:rsidP="00000000" w:rsidRDefault="00000000" w:rsidRPr="00000000" w14:paraId="0000005D">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E">
      <w:pPr>
        <w:widowControl w:val="0"/>
        <w:spacing w:after="0" w:line="360" w:lineRule="auto"/>
        <w:jc w:val="both"/>
        <w:rPr>
          <w:rFonts w:ascii="Century Gothic" w:cs="Century Gothic" w:eastAsia="Century Gothic" w:hAnsi="Century Gothic"/>
        </w:rPr>
      </w:pPr>
      <w:hyperlink r:id="rId18">
        <w:r w:rsidDel="00000000" w:rsidR="00000000" w:rsidRPr="00000000">
          <w:rPr>
            <w:rFonts w:ascii="Century Gothic" w:cs="Century Gothic" w:eastAsia="Century Gothic" w:hAnsi="Century Gothic"/>
            <w:color w:val="1155cc"/>
            <w:u w:val="single"/>
            <w:rtl w:val="0"/>
          </w:rPr>
          <w:t xml:space="preserve">https://ihl-databases.icrc.org/en/ihl-treaties/genocide-conv-1948/state-parties</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5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J:</w:t>
      </w:r>
      <w:r w:rsidDel="00000000" w:rsidR="00000000" w:rsidRPr="00000000">
        <w:rPr>
          <w:rFonts w:ascii="Century Gothic" w:cs="Century Gothic" w:eastAsia="Century Gothic" w:hAnsi="Century Gothic"/>
          <w:rtl w:val="0"/>
        </w:rPr>
        <w:t xml:space="preserve"> This appendix provides information regarding state participation and ratification of the Convention on the Prevention and Punishment of the Crime of Genocide through the International Committee of the Red Cross database. Delegates may use this source to verify treaty obligations and understand the legal responsibilities of states party to the Convention within international law.</w:t>
      </w:r>
    </w:p>
    <w:p w:rsidR="00000000" w:rsidDel="00000000" w:rsidP="00000000" w:rsidRDefault="00000000" w:rsidRPr="00000000" w14:paraId="0000006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1">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2">
      <w:pPr>
        <w:pStyle w:val="Heading1"/>
        <w:keepNext w:val="0"/>
        <w:keepLines w:val="0"/>
        <w:widowControl w:val="0"/>
        <w:spacing w:after="0" w:before="0" w:line="360" w:lineRule="auto"/>
        <w:jc w:val="both"/>
        <w:rPr>
          <w:rFonts w:ascii="Century Gothic" w:cs="Century Gothic" w:eastAsia="Century Gothic" w:hAnsi="Century Gothic"/>
          <w:b w:val="1"/>
          <w:bCs w:val="1"/>
          <w:color w:val="0000ff"/>
          <w:sz w:val="22"/>
          <w:szCs w:val="22"/>
        </w:rPr>
      </w:pPr>
      <w:bookmarkStart w:colFirst="0" w:colLast="0" w:name="_ovv0jz8yj50l" w:id="1"/>
      <w:bookmarkEnd w:id="1"/>
      <w:r w:rsidDel="00000000" w:rsidR="00000000" w:rsidRPr="00000000">
        <w:rPr>
          <w:rFonts w:ascii="Century Gothic" w:cs="Century Gothic" w:eastAsia="Century Gothic" w:hAnsi="Century Gothic"/>
          <w:b w:val="1"/>
          <w:bCs w:val="1"/>
          <w:color w:val="0000ff"/>
          <w:sz w:val="22"/>
          <w:szCs w:val="22"/>
          <w:rtl w:val="0"/>
        </w:rPr>
        <w:t xml:space="preserve">Works Cited</w:t>
      </w:r>
    </w:p>
    <w:p w:rsidR="00000000" w:rsidDel="00000000" w:rsidP="00000000" w:rsidRDefault="00000000" w:rsidRPr="00000000" w14:paraId="00000063">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Aosheng Pusztaszeri and Emily Harding. “The Aftermath of October 7: Regional Conflict in the Middle East.” </w:t>
      </w:r>
      <w:r w:rsidDel="00000000" w:rsidR="00000000" w:rsidRPr="00000000">
        <w:rPr>
          <w:rFonts w:ascii="Century Gothic" w:cs="Century Gothic" w:eastAsia="Century Gothic" w:hAnsi="Century Gothic"/>
          <w:i w:val="1"/>
          <w:iCs w:val="1"/>
          <w:rtl w:val="0"/>
        </w:rPr>
        <w:t xml:space="preserve">Csis.org</w:t>
      </w:r>
      <w:r w:rsidDel="00000000" w:rsidR="00000000" w:rsidRPr="00000000">
        <w:rPr>
          <w:rFonts w:ascii="Century Gothic" w:cs="Century Gothic" w:eastAsia="Century Gothic" w:hAnsi="Century Gothic"/>
          <w:rtl w:val="0"/>
        </w:rPr>
        <w:t xml:space="preserve">, 2024, www.csis.org/analysis/aftermath-october-7-regional-conflict-middle-east.</w:t>
      </w:r>
    </w:p>
    <w:p w:rsidR="00000000" w:rsidDel="00000000" w:rsidP="00000000" w:rsidRDefault="00000000" w:rsidRPr="00000000" w14:paraId="00000064">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“Application of the Convention on the Prevention and Punishment of the Crime of Genocide in the Gaza Strip (Sou.” </w:t>
      </w:r>
      <w:r w:rsidDel="00000000" w:rsidR="00000000" w:rsidRPr="00000000">
        <w:rPr>
          <w:rFonts w:ascii="Century Gothic" w:cs="Century Gothic" w:eastAsia="Century Gothic" w:hAnsi="Century Gothic"/>
          <w:i w:val="1"/>
          <w:iCs w:val="1"/>
          <w:rtl w:val="0"/>
        </w:rPr>
        <w:t xml:space="preserve">Icj-Cij.org</w:t>
      </w:r>
      <w:r w:rsidDel="00000000" w:rsidR="00000000" w:rsidRPr="00000000">
        <w:rPr>
          <w:rFonts w:ascii="Century Gothic" w:cs="Century Gothic" w:eastAsia="Century Gothic" w:hAnsi="Century Gothic"/>
          <w:rtl w:val="0"/>
        </w:rPr>
        <w:t xml:space="preserve">, 2026, www.icj-cij.org/case/192. Accessed 22 Apr. 2026.</w:t>
      </w:r>
    </w:p>
    <w:p w:rsidR="00000000" w:rsidDel="00000000" w:rsidP="00000000" w:rsidRDefault="00000000" w:rsidRPr="00000000" w14:paraId="00000065">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“Basis of the Court’s Jurisdiction | INTERNATIONAL COURT of JUSTICE.” </w:t>
      </w:r>
      <w:r w:rsidDel="00000000" w:rsidR="00000000" w:rsidRPr="00000000">
        <w:rPr>
          <w:rFonts w:ascii="Century Gothic" w:cs="Century Gothic" w:eastAsia="Century Gothic" w:hAnsi="Century Gothic"/>
          <w:i w:val="1"/>
          <w:iCs w:val="1"/>
          <w:rtl w:val="0"/>
        </w:rPr>
        <w:t xml:space="preserve">Www.icj-Cij.org</w:t>
      </w:r>
      <w:r w:rsidDel="00000000" w:rsidR="00000000" w:rsidRPr="00000000">
        <w:rPr>
          <w:rFonts w:ascii="Century Gothic" w:cs="Century Gothic" w:eastAsia="Century Gothic" w:hAnsi="Century Gothic"/>
          <w:rtl w:val="0"/>
        </w:rPr>
        <w:t xml:space="preserve">, www.icj-cij.org/basis-of-jurisdiction#2.</w:t>
      </w:r>
    </w:p>
    <w:p w:rsidR="00000000" w:rsidDel="00000000" w:rsidP="00000000" w:rsidRDefault="00000000" w:rsidRPr="00000000" w14:paraId="00000066">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Britannica Editors. “October 7 Attack | Israel, Gaza, Deaths, &amp; Hostages.” </w:t>
      </w:r>
      <w:r w:rsidDel="00000000" w:rsidR="00000000" w:rsidRPr="00000000">
        <w:rPr>
          <w:rFonts w:ascii="Century Gothic" w:cs="Century Gothic" w:eastAsia="Century Gothic" w:hAnsi="Century Gothic"/>
          <w:i w:val="1"/>
          <w:iCs w:val="1"/>
          <w:rtl w:val="0"/>
        </w:rPr>
        <w:t xml:space="preserve">Encyclopedia Britannica</w:t>
      </w:r>
      <w:r w:rsidDel="00000000" w:rsidR="00000000" w:rsidRPr="00000000">
        <w:rPr>
          <w:rFonts w:ascii="Century Gothic" w:cs="Century Gothic" w:eastAsia="Century Gothic" w:hAnsi="Century Gothic"/>
          <w:rtl w:val="0"/>
        </w:rPr>
        <w:t xml:space="preserve">, 14 Aug. 2025, www.britannica.com/event/October-7-attack?utm_source=chatgpt.com. Accessed 22 Apr. 2026.</w:t>
      </w:r>
    </w:p>
    <w:p w:rsidR="00000000" w:rsidDel="00000000" w:rsidP="00000000" w:rsidRDefault="00000000" w:rsidRPr="00000000" w14:paraId="00000067">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dmalloy. “Israel Needs a Fundamental Shift in Its Foreign Policy.” </w:t>
      </w:r>
      <w:r w:rsidDel="00000000" w:rsidR="00000000" w:rsidRPr="00000000">
        <w:rPr>
          <w:rFonts w:ascii="Century Gothic" w:cs="Century Gothic" w:eastAsia="Century Gothic" w:hAnsi="Century Gothic"/>
          <w:i w:val="1"/>
          <w:iCs w:val="1"/>
          <w:rtl w:val="0"/>
        </w:rPr>
        <w:t xml:space="preserve">Atlantic Council</w:t>
      </w:r>
      <w:r w:rsidDel="00000000" w:rsidR="00000000" w:rsidRPr="00000000">
        <w:rPr>
          <w:rFonts w:ascii="Century Gothic" w:cs="Century Gothic" w:eastAsia="Century Gothic" w:hAnsi="Century Gothic"/>
          <w:rtl w:val="0"/>
        </w:rPr>
        <w:t xml:space="preserve">, 19 Feb. 2026, www.atlanticcouncil.org/blogs/menasource/israel-needs-a-fundamental-shift-in-its-foreign-policy/. Accessed 25 Apr. 2026.</w:t>
      </w:r>
    </w:p>
    <w:p w:rsidR="00000000" w:rsidDel="00000000" w:rsidP="00000000" w:rsidRDefault="00000000" w:rsidRPr="00000000" w14:paraId="00000068">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Duffy, Helen. “Genocide and Armed Conflict before the International Court of Justice - QIL QDI.” </w:t>
      </w:r>
      <w:r w:rsidDel="00000000" w:rsidR="00000000" w:rsidRPr="00000000">
        <w:rPr>
          <w:rFonts w:ascii="Century Gothic" w:cs="Century Gothic" w:eastAsia="Century Gothic" w:hAnsi="Century Gothic"/>
          <w:i w:val="1"/>
          <w:iCs w:val="1"/>
          <w:rtl w:val="0"/>
        </w:rPr>
        <w:t xml:space="preserve">QIL QDI</w:t>
      </w:r>
      <w:r w:rsidDel="00000000" w:rsidR="00000000" w:rsidRPr="00000000">
        <w:rPr>
          <w:rFonts w:ascii="Century Gothic" w:cs="Century Gothic" w:eastAsia="Century Gothic" w:hAnsi="Century Gothic"/>
          <w:rtl w:val="0"/>
        </w:rPr>
        <w:t xml:space="preserve">, 31 Jan. 2025, www.qil-qdi.org/genocide-and-armed-conflict-before-the-international-court-of-justice/. Accessed 25 Apr. 2026.</w:t>
      </w:r>
    </w:p>
    <w:p w:rsidR="00000000" w:rsidDel="00000000" w:rsidP="00000000" w:rsidRDefault="00000000" w:rsidRPr="00000000" w14:paraId="00000069">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“Fact Sheet: Two Years of Israel’s Genocide in Gaza.” </w:t>
      </w:r>
      <w:r w:rsidDel="00000000" w:rsidR="00000000" w:rsidRPr="00000000">
        <w:rPr>
          <w:rFonts w:ascii="Century Gothic" w:cs="Century Gothic" w:eastAsia="Century Gothic" w:hAnsi="Century Gothic"/>
          <w:i w:val="1"/>
          <w:iCs w:val="1"/>
          <w:rtl w:val="0"/>
        </w:rPr>
        <w:t xml:space="preserve">The Institute for Middle East Understanding (IMEU)</w:t>
      </w:r>
      <w:r w:rsidDel="00000000" w:rsidR="00000000" w:rsidRPr="00000000">
        <w:rPr>
          <w:rFonts w:ascii="Century Gothic" w:cs="Century Gothic" w:eastAsia="Century Gothic" w:hAnsi="Century Gothic"/>
          <w:rtl w:val="0"/>
        </w:rPr>
        <w:t xml:space="preserve">, 2025, imeu.org/resources/resources/fact-sheet-israels-genocide-in-gaza/446.</w:t>
      </w:r>
    </w:p>
    <w:p w:rsidR="00000000" w:rsidDel="00000000" w:rsidP="00000000" w:rsidRDefault="00000000" w:rsidRPr="00000000" w14:paraId="0000006A">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GÜNEŞ, BURAK. “Legal Implications of the ICJ Proceedings Regarding Israel’s Conduct in Gaza.” </w:t>
      </w:r>
      <w:r w:rsidDel="00000000" w:rsidR="00000000" w:rsidRPr="00000000">
        <w:rPr>
          <w:rFonts w:ascii="Century Gothic" w:cs="Century Gothic" w:eastAsia="Century Gothic" w:hAnsi="Century Gothic"/>
          <w:i w:val="1"/>
          <w:iCs w:val="1"/>
          <w:rtl w:val="0"/>
        </w:rPr>
        <w:t xml:space="preserve">Insight Turkey</w:t>
      </w:r>
      <w:r w:rsidDel="00000000" w:rsidR="00000000" w:rsidRPr="00000000">
        <w:rPr>
          <w:rFonts w:ascii="Century Gothic" w:cs="Century Gothic" w:eastAsia="Century Gothic" w:hAnsi="Century Gothic"/>
          <w:rtl w:val="0"/>
        </w:rPr>
        <w:t xml:space="preserve">, vol. 27, no. 3, SET VAKFI İktisadi İşletmesi, SETA VAKFI, 2025, pp. 131–48, https://doi.org/10.2307/48840842. JSTOR.</w:t>
      </w:r>
    </w:p>
    <w:p w:rsidR="00000000" w:rsidDel="00000000" w:rsidP="00000000" w:rsidRDefault="00000000" w:rsidRPr="00000000" w14:paraId="0000006B">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HAQ, AL. </w:t>
      </w:r>
      <w:r w:rsidDel="00000000" w:rsidR="00000000" w:rsidRPr="00000000">
        <w:rPr>
          <w:rFonts w:ascii="Century Gothic" w:cs="Century Gothic" w:eastAsia="Century Gothic" w:hAnsi="Century Gothic"/>
          <w:i w:val="1"/>
          <w:iCs w:val="1"/>
          <w:rtl w:val="0"/>
        </w:rPr>
        <w:t xml:space="preserve">AL-HAQ LEGAL BRIEF I: SPECIAL INTENT (DOLUS SPECIALIS) REQUIRED to CLASSIFY ACTS as GENOCIDE</w:t>
      </w:r>
      <w:r w:rsidDel="00000000" w:rsidR="00000000" w:rsidRPr="00000000">
        <w:rPr>
          <w:rFonts w:ascii="Century Gothic" w:cs="Century Gothic" w:eastAsia="Century Gothic" w:hAnsi="Century Gothic"/>
          <w:rtl w:val="0"/>
        </w:rPr>
        <w:t xml:space="preserve">. www.alhaq.org/cached_uploads/download/2025/05/12/legal-brief-1-genocide-series-1747067173.pdf.</w:t>
      </w:r>
    </w:p>
    <w:p w:rsidR="00000000" w:rsidDel="00000000" w:rsidP="00000000" w:rsidRDefault="00000000" w:rsidRPr="00000000" w14:paraId="0000006C">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Court of Justice. “Jurisdiction | INTERNATIONAL COURT of JUSTICE.” </w:t>
      </w:r>
      <w:r w:rsidDel="00000000" w:rsidR="00000000" w:rsidRPr="00000000">
        <w:rPr>
          <w:rFonts w:ascii="Century Gothic" w:cs="Century Gothic" w:eastAsia="Century Gothic" w:hAnsi="Century Gothic"/>
          <w:i w:val="1"/>
          <w:iCs w:val="1"/>
          <w:rtl w:val="0"/>
        </w:rPr>
        <w:t xml:space="preserve">Www.icj-Cij.org</w:t>
      </w:r>
      <w:r w:rsidDel="00000000" w:rsidR="00000000" w:rsidRPr="00000000">
        <w:rPr>
          <w:rFonts w:ascii="Century Gothic" w:cs="Century Gothic" w:eastAsia="Century Gothic" w:hAnsi="Century Gothic"/>
          <w:rtl w:val="0"/>
        </w:rPr>
        <w:t xml:space="preserve">, www.icj-cij.org/jurisdiction.</w:t>
      </w:r>
    </w:p>
    <w:p w:rsidR="00000000" w:rsidDel="00000000" w:rsidP="00000000" w:rsidRDefault="00000000" w:rsidRPr="00000000" w14:paraId="0000006D">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“Proceedings Instituted by South Africa against the State of Israel on 29 December 2023.” </w:t>
      </w:r>
      <w:r w:rsidDel="00000000" w:rsidR="00000000" w:rsidRPr="00000000">
        <w:rPr>
          <w:rFonts w:ascii="Century Gothic" w:cs="Century Gothic" w:eastAsia="Century Gothic" w:hAnsi="Century Gothic"/>
          <w:i w:val="1"/>
          <w:iCs w:val="1"/>
          <w:rtl w:val="0"/>
        </w:rPr>
        <w:t xml:space="preserve">Www.icj-Cij.org</w:t>
      </w:r>
      <w:r w:rsidDel="00000000" w:rsidR="00000000" w:rsidRPr="00000000">
        <w:rPr>
          <w:rFonts w:ascii="Century Gothic" w:cs="Century Gothic" w:eastAsia="Century Gothic" w:hAnsi="Century Gothic"/>
          <w:rtl w:val="0"/>
        </w:rPr>
        <w:t xml:space="preserve">, INTERNATIONAL COURT OF JUSTICE, 29 Dec. 2023, www.icj-cij.org/case/192.</w:t>
      </w:r>
    </w:p>
    <w:p w:rsidR="00000000" w:rsidDel="00000000" w:rsidP="00000000" w:rsidRDefault="00000000" w:rsidRPr="00000000" w14:paraId="0000006E">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“Statute of the International Court of Justice.” </w:t>
      </w:r>
      <w:r w:rsidDel="00000000" w:rsidR="00000000" w:rsidRPr="00000000">
        <w:rPr>
          <w:rFonts w:ascii="Century Gothic" w:cs="Century Gothic" w:eastAsia="Century Gothic" w:hAnsi="Century Gothic"/>
          <w:i w:val="1"/>
          <w:iCs w:val="1"/>
          <w:rtl w:val="0"/>
        </w:rPr>
        <w:t xml:space="preserve">International Court of Justice</w:t>
      </w:r>
      <w:r w:rsidDel="00000000" w:rsidR="00000000" w:rsidRPr="00000000">
        <w:rPr>
          <w:rFonts w:ascii="Century Gothic" w:cs="Century Gothic" w:eastAsia="Century Gothic" w:hAnsi="Century Gothic"/>
          <w:rtl w:val="0"/>
        </w:rPr>
        <w:t xml:space="preserve">, 1945, www.icj-cij.org/statute.</w:t>
      </w:r>
    </w:p>
    <w:p w:rsidR="00000000" w:rsidDel="00000000" w:rsidP="00000000" w:rsidRDefault="00000000" w:rsidRPr="00000000" w14:paraId="0000006F">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“Israel Has Committed Genocide in the Gaza Strip, UN Commission Finds.”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2025, www.ohchr.org/en/press-releases/2025/09/israel-has-committed-genocide-gaza-strip-un-commission-finds.</w:t>
      </w:r>
    </w:p>
    <w:p w:rsidR="00000000" w:rsidDel="00000000" w:rsidP="00000000" w:rsidRDefault="00000000" w:rsidRPr="00000000" w14:paraId="00000070">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Keitner, Chimene. “Understanding South Africa v. Israel at the International Court of Justice.” </w:t>
      </w:r>
      <w:r w:rsidDel="00000000" w:rsidR="00000000" w:rsidRPr="00000000">
        <w:rPr>
          <w:rFonts w:ascii="Century Gothic" w:cs="Century Gothic" w:eastAsia="Century Gothic" w:hAnsi="Century Gothic"/>
          <w:i w:val="1"/>
          <w:iCs w:val="1"/>
          <w:rtl w:val="0"/>
        </w:rPr>
        <w:t xml:space="preserve">Default</w:t>
      </w:r>
      <w:r w:rsidDel="00000000" w:rsidR="00000000" w:rsidRPr="00000000">
        <w:rPr>
          <w:rFonts w:ascii="Century Gothic" w:cs="Century Gothic" w:eastAsia="Century Gothic" w:hAnsi="Century Gothic"/>
          <w:rtl w:val="0"/>
        </w:rPr>
        <w:t xml:space="preserve">, 16 Jan. 2024, www.lawfaremedia.org/article/understanding-south-africa-v.-israel-at-the-international-court-of-justice.</w:t>
      </w:r>
    </w:p>
    <w:p w:rsidR="00000000" w:rsidDel="00000000" w:rsidP="00000000" w:rsidRDefault="00000000" w:rsidRPr="00000000" w14:paraId="00000071">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Lawal, Shola. “ICJ Genocide Case: What Are Israel’s Arguments and Do They Hold Up?” </w:t>
      </w:r>
      <w:r w:rsidDel="00000000" w:rsidR="00000000" w:rsidRPr="00000000">
        <w:rPr>
          <w:rFonts w:ascii="Century Gothic" w:cs="Century Gothic" w:eastAsia="Century Gothic" w:hAnsi="Century Gothic"/>
          <w:i w:val="1"/>
          <w:iCs w:val="1"/>
          <w:rtl w:val="0"/>
        </w:rPr>
        <w:t xml:space="preserve">Al Jazeera</w:t>
      </w:r>
      <w:r w:rsidDel="00000000" w:rsidR="00000000" w:rsidRPr="00000000">
        <w:rPr>
          <w:rFonts w:ascii="Century Gothic" w:cs="Century Gothic" w:eastAsia="Century Gothic" w:hAnsi="Century Gothic"/>
          <w:rtl w:val="0"/>
        </w:rPr>
        <w:t xml:space="preserve">, 12 Jan. 2024, www.aljazeera.com/news/2024/1/12/icj-genocide-case-what-are-israels-main-arguments.</w:t>
      </w:r>
    </w:p>
    <w:p w:rsidR="00000000" w:rsidDel="00000000" w:rsidP="00000000" w:rsidRDefault="00000000" w:rsidRPr="00000000" w14:paraId="00000072">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“ICJ Genocide Case: What Are Israel’s Arguments and Do They Hold Up?” </w:t>
      </w:r>
      <w:r w:rsidDel="00000000" w:rsidR="00000000" w:rsidRPr="00000000">
        <w:rPr>
          <w:rFonts w:ascii="Century Gothic" w:cs="Century Gothic" w:eastAsia="Century Gothic" w:hAnsi="Century Gothic"/>
          <w:i w:val="1"/>
          <w:iCs w:val="1"/>
          <w:rtl w:val="0"/>
        </w:rPr>
        <w:t xml:space="preserve">Al Jazeera</w:t>
      </w:r>
      <w:r w:rsidDel="00000000" w:rsidR="00000000" w:rsidRPr="00000000">
        <w:rPr>
          <w:rFonts w:ascii="Century Gothic" w:cs="Century Gothic" w:eastAsia="Century Gothic" w:hAnsi="Century Gothic"/>
          <w:rtl w:val="0"/>
        </w:rPr>
        <w:t xml:space="preserve">, 12 Jan. 2024, www.aljazeera.com/news/2024/1/12/icj-genocide-case-what-are-israels-main-arguments.</w:t>
      </w:r>
    </w:p>
    <w:p w:rsidR="00000000" w:rsidDel="00000000" w:rsidP="00000000" w:rsidRDefault="00000000" w:rsidRPr="00000000" w14:paraId="00000073">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 “Report: Gaza Strip Rapid Damage and Needs Assessment - European Union, United Nations and World Bank - Question of Palestine.” </w:t>
      </w:r>
      <w:r w:rsidDel="00000000" w:rsidR="00000000" w:rsidRPr="00000000">
        <w:rPr>
          <w:rFonts w:ascii="Century Gothic" w:cs="Century Gothic" w:eastAsia="Century Gothic" w:hAnsi="Century Gothic"/>
          <w:i w:val="1"/>
          <w:iCs w:val="1"/>
          <w:rtl w:val="0"/>
        </w:rPr>
        <w:t xml:space="preserve">Question of Palestine</w:t>
      </w:r>
      <w:r w:rsidDel="00000000" w:rsidR="00000000" w:rsidRPr="00000000">
        <w:rPr>
          <w:rFonts w:ascii="Century Gothic" w:cs="Century Gothic" w:eastAsia="Century Gothic" w:hAnsi="Century Gothic"/>
          <w:rtl w:val="0"/>
        </w:rPr>
        <w:t xml:space="preserve">, 22 Apr. 2026, www.un.org/unispal/document/report-gaza-strip-rapid-damage-20apr26/. Accessed 25 Apr. 2026.</w:t>
      </w:r>
    </w:p>
    <w:p w:rsidR="00000000" w:rsidDel="00000000" w:rsidP="00000000" w:rsidRDefault="00000000" w:rsidRPr="00000000" w14:paraId="00000074">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“The International Court of Justice Reaffirms Its Previous Provisional Measures and Indicates New Measures - Order of 28 March 2024 - Application of the Genocide Convention (South Africa v. Israel) - Question of Palestine.” </w:t>
      </w:r>
      <w:r w:rsidDel="00000000" w:rsidR="00000000" w:rsidRPr="00000000">
        <w:rPr>
          <w:rFonts w:ascii="Century Gothic" w:cs="Century Gothic" w:eastAsia="Century Gothic" w:hAnsi="Century Gothic"/>
          <w:i w:val="1"/>
          <w:iCs w:val="1"/>
          <w:rtl w:val="0"/>
        </w:rPr>
        <w:t xml:space="preserve">Question of Palestine</w:t>
      </w:r>
      <w:r w:rsidDel="00000000" w:rsidR="00000000" w:rsidRPr="00000000">
        <w:rPr>
          <w:rFonts w:ascii="Century Gothic" w:cs="Century Gothic" w:eastAsia="Century Gothic" w:hAnsi="Century Gothic"/>
          <w:rtl w:val="0"/>
        </w:rPr>
        <w:t xml:space="preserve">, 24 May 2024, www.un.org/unispal/document/icj-provisional-measures-24may24/.</w:t>
      </w:r>
    </w:p>
    <w:p w:rsidR="00000000" w:rsidDel="00000000" w:rsidP="00000000" w:rsidRDefault="00000000" w:rsidRPr="00000000" w14:paraId="00000075">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“Milestones in the History of U.S. Foreign Relations - Office of the Historian.” </w:t>
      </w:r>
      <w:r w:rsidDel="00000000" w:rsidR="00000000" w:rsidRPr="00000000">
        <w:rPr>
          <w:rFonts w:ascii="Century Gothic" w:cs="Century Gothic" w:eastAsia="Century Gothic" w:hAnsi="Century Gothic"/>
          <w:i w:val="1"/>
          <w:iCs w:val="1"/>
          <w:rtl w:val="0"/>
        </w:rPr>
        <w:t xml:space="preserve">State.gov</w:t>
      </w:r>
      <w:r w:rsidDel="00000000" w:rsidR="00000000" w:rsidRPr="00000000">
        <w:rPr>
          <w:rFonts w:ascii="Century Gothic" w:cs="Century Gothic" w:eastAsia="Century Gothic" w:hAnsi="Century Gothic"/>
          <w:rtl w:val="0"/>
        </w:rPr>
        <w:t xml:space="preserve">, 2026, history.state.gov/milestones/1945-1952/creation-israel. Accessed 22 Apr. 2026.</w:t>
      </w:r>
    </w:p>
    <w:p w:rsidR="00000000" w:rsidDel="00000000" w:rsidP="00000000" w:rsidRDefault="00000000" w:rsidRPr="00000000" w14:paraId="00000076">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“Republic of South Africa Institutes Proceedings against the State of Israel and Requests the Court to Indicate Provisional Measures.” </w:t>
      </w:r>
      <w:r w:rsidDel="00000000" w:rsidR="00000000" w:rsidRPr="00000000">
        <w:rPr>
          <w:rFonts w:ascii="Century Gothic" w:cs="Century Gothic" w:eastAsia="Century Gothic" w:hAnsi="Century Gothic"/>
          <w:i w:val="1"/>
          <w:iCs w:val="1"/>
          <w:rtl w:val="0"/>
        </w:rPr>
        <w:t xml:space="preserve">The Pan Afrikanist</w:t>
      </w:r>
      <w:r w:rsidDel="00000000" w:rsidR="00000000" w:rsidRPr="00000000">
        <w:rPr>
          <w:rFonts w:ascii="Century Gothic" w:cs="Century Gothic" w:eastAsia="Century Gothic" w:hAnsi="Century Gothic"/>
          <w:rtl w:val="0"/>
        </w:rPr>
        <w:t xml:space="preserve">, 29 Dec. 2023, thepanafrikanist.com/republic-of-south-africa-institutes-proceedings-against-the-state-of-israel-and-requests-the-court-to-indicate-provisional-measures/. Accessed 13 Apr. 2026.</w:t>
      </w:r>
    </w:p>
    <w:p w:rsidR="00000000" w:rsidDel="00000000" w:rsidP="00000000" w:rsidRDefault="00000000" w:rsidRPr="00000000" w14:paraId="00000077">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Shalev, Avraham Russell. “Hamas’ October 7th Genocide: Legal Analysis and the Weaponisation of Reverse Accusations – a Study in Modern Genocide Recognition and Denial.” </w:t>
      </w:r>
      <w:r w:rsidDel="00000000" w:rsidR="00000000" w:rsidRPr="00000000">
        <w:rPr>
          <w:rFonts w:ascii="Century Gothic" w:cs="Century Gothic" w:eastAsia="Century Gothic" w:hAnsi="Century Gothic"/>
          <w:i w:val="1"/>
          <w:iCs w:val="1"/>
          <w:rtl w:val="0"/>
        </w:rPr>
        <w:t xml:space="preserve">Israel Law Review</w:t>
      </w:r>
      <w:r w:rsidDel="00000000" w:rsidR="00000000" w:rsidRPr="00000000">
        <w:rPr>
          <w:rFonts w:ascii="Century Gothic" w:cs="Century Gothic" w:eastAsia="Century Gothic" w:hAnsi="Century Gothic"/>
          <w:rtl w:val="0"/>
        </w:rPr>
        <w:t xml:space="preserve">, Cambridge University Press (CUP), Aug. 2025, pp. 1–40, https://doi.org/10.1017/s0021223725100009.</w:t>
      </w:r>
    </w:p>
    <w:p w:rsidR="00000000" w:rsidDel="00000000" w:rsidP="00000000" w:rsidRDefault="00000000" w:rsidRPr="00000000" w14:paraId="00000078">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Sharp, Jeremy, and Jim Zanotti. “Israel and Hamas Conflict in Brief: Overview, U.S. Policy, and Options for Congress.” </w:t>
      </w:r>
      <w:r w:rsidDel="00000000" w:rsidR="00000000" w:rsidRPr="00000000">
        <w:rPr>
          <w:rFonts w:ascii="Century Gothic" w:cs="Century Gothic" w:eastAsia="Century Gothic" w:hAnsi="Century Gothic"/>
          <w:i w:val="1"/>
          <w:iCs w:val="1"/>
          <w:rtl w:val="0"/>
        </w:rPr>
        <w:t xml:space="preserve">Congress.gov</w:t>
      </w:r>
      <w:r w:rsidDel="00000000" w:rsidR="00000000" w:rsidRPr="00000000">
        <w:rPr>
          <w:rFonts w:ascii="Century Gothic" w:cs="Century Gothic" w:eastAsia="Century Gothic" w:hAnsi="Century Gothic"/>
          <w:rtl w:val="0"/>
        </w:rPr>
        <w:t xml:space="preserve">, 4 Oct. 2024, www.congress.gov/crs-product/R47828.</w:t>
      </w:r>
    </w:p>
    <w:p w:rsidR="00000000" w:rsidDel="00000000" w:rsidP="00000000" w:rsidRDefault="00000000" w:rsidRPr="00000000" w14:paraId="00000079">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Shehadi, Lemma. “Six Countries Intervene in ICJ Genocide Case against Israel.” </w:t>
      </w:r>
      <w:r w:rsidDel="00000000" w:rsidR="00000000" w:rsidRPr="00000000">
        <w:rPr>
          <w:rFonts w:ascii="Century Gothic" w:cs="Century Gothic" w:eastAsia="Century Gothic" w:hAnsi="Century Gothic"/>
          <w:i w:val="1"/>
          <w:iCs w:val="1"/>
          <w:rtl w:val="0"/>
        </w:rPr>
        <w:t xml:space="preserve">The National</w:t>
      </w:r>
      <w:r w:rsidDel="00000000" w:rsidR="00000000" w:rsidRPr="00000000">
        <w:rPr>
          <w:rFonts w:ascii="Century Gothic" w:cs="Century Gothic" w:eastAsia="Century Gothic" w:hAnsi="Century Gothic"/>
          <w:rtl w:val="0"/>
        </w:rPr>
        <w:t xml:space="preserve">, 13 Mar. 2026, www.thenationalnews.com/news/uk/2026/03/13/six-countries-intervene-in-icj-genocide-case-against-israel/. Accessed 18 Apr. 2026.</w:t>
      </w:r>
    </w:p>
    <w:p w:rsidR="00000000" w:rsidDel="00000000" w:rsidP="00000000" w:rsidRDefault="00000000" w:rsidRPr="00000000" w14:paraId="0000007A">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“South Africa Notes Israel’s Response Filing to the ICJ | the Presidency.” </w:t>
      </w:r>
      <w:r w:rsidDel="00000000" w:rsidR="00000000" w:rsidRPr="00000000">
        <w:rPr>
          <w:rFonts w:ascii="Century Gothic" w:cs="Century Gothic" w:eastAsia="Century Gothic" w:hAnsi="Century Gothic"/>
          <w:i w:val="1"/>
          <w:iCs w:val="1"/>
          <w:rtl w:val="0"/>
        </w:rPr>
        <w:t xml:space="preserve">Thepresidency.gov.za</w:t>
      </w:r>
      <w:r w:rsidDel="00000000" w:rsidR="00000000" w:rsidRPr="00000000">
        <w:rPr>
          <w:rFonts w:ascii="Century Gothic" w:cs="Century Gothic" w:eastAsia="Century Gothic" w:hAnsi="Century Gothic"/>
          <w:rtl w:val="0"/>
        </w:rPr>
        <w:t xml:space="preserve">, 15 Mar. 2026, www.thepresidency.gov.za/south-africa-notes-israels-response-filing-icj.</w:t>
      </w:r>
    </w:p>
    <w:p w:rsidR="00000000" w:rsidDel="00000000" w:rsidP="00000000" w:rsidRDefault="00000000" w:rsidRPr="00000000" w14:paraId="0000007B">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Israeli-Palestinian Conflict.” </w:t>
      </w:r>
      <w:r w:rsidDel="00000000" w:rsidR="00000000" w:rsidRPr="00000000">
        <w:rPr>
          <w:rFonts w:ascii="Century Gothic" w:cs="Century Gothic" w:eastAsia="Century Gothic" w:hAnsi="Century Gothic"/>
          <w:i w:val="1"/>
          <w:iCs w:val="1"/>
          <w:rtl w:val="0"/>
        </w:rPr>
        <w:t xml:space="preserve">Parliament.uk</w:t>
      </w:r>
      <w:r w:rsidDel="00000000" w:rsidR="00000000" w:rsidRPr="00000000">
        <w:rPr>
          <w:rFonts w:ascii="Century Gothic" w:cs="Century Gothic" w:eastAsia="Century Gothic" w:hAnsi="Century Gothic"/>
          <w:rtl w:val="0"/>
        </w:rPr>
        <w:t xml:space="preserve">, 2024, publications.parliament.uk/pa/cm5901/cmselect/cmfaff/488/report.html.</w:t>
      </w:r>
    </w:p>
    <w:p w:rsidR="00000000" w:rsidDel="00000000" w:rsidP="00000000" w:rsidRDefault="00000000" w:rsidRPr="00000000" w14:paraId="0000007C">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Significance of the ICJ South Africa v. Israel Case.” </w:t>
      </w:r>
      <w:r w:rsidDel="00000000" w:rsidR="00000000" w:rsidRPr="00000000">
        <w:rPr>
          <w:rFonts w:ascii="Century Gothic" w:cs="Century Gothic" w:eastAsia="Century Gothic" w:hAnsi="Century Gothic"/>
          <w:i w:val="1"/>
          <w:iCs w:val="1"/>
          <w:rtl w:val="0"/>
        </w:rPr>
        <w:t xml:space="preserve">European University Institute</w:t>
      </w:r>
      <w:r w:rsidDel="00000000" w:rsidR="00000000" w:rsidRPr="00000000">
        <w:rPr>
          <w:rFonts w:ascii="Century Gothic" w:cs="Century Gothic" w:eastAsia="Century Gothic" w:hAnsi="Century Gothic"/>
          <w:rtl w:val="0"/>
        </w:rPr>
        <w:t xml:space="preserve">, www.eui.eu/events?id=567397.</w:t>
      </w:r>
    </w:p>
    <w:p w:rsidR="00000000" w:rsidDel="00000000" w:rsidP="00000000" w:rsidRDefault="00000000" w:rsidRPr="00000000" w14:paraId="0000007D">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“Treaties | INTERNATIONAL COURT of JUSTICE.” </w:t>
      </w:r>
      <w:r w:rsidDel="00000000" w:rsidR="00000000" w:rsidRPr="00000000">
        <w:rPr>
          <w:rFonts w:ascii="Century Gothic" w:cs="Century Gothic" w:eastAsia="Century Gothic" w:hAnsi="Century Gothic"/>
          <w:i w:val="1"/>
          <w:iCs w:val="1"/>
          <w:rtl w:val="0"/>
        </w:rPr>
        <w:t xml:space="preserve">Www.icj-Cij.org</w:t>
      </w:r>
      <w:r w:rsidDel="00000000" w:rsidR="00000000" w:rsidRPr="00000000">
        <w:rPr>
          <w:rFonts w:ascii="Century Gothic" w:cs="Century Gothic" w:eastAsia="Century Gothic" w:hAnsi="Century Gothic"/>
          <w:rtl w:val="0"/>
        </w:rPr>
        <w:t xml:space="preserve">, www.icj-cij.org/treaties.</w:t>
      </w:r>
    </w:p>
    <w:p w:rsidR="00000000" w:rsidDel="00000000" w:rsidP="00000000" w:rsidRDefault="00000000" w:rsidRPr="00000000" w14:paraId="0000007E">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Ulbricht, Bailey, and Allen Weiner. “Israel’s Excessive Destruction in Gaza Violates International Law.” </w:t>
      </w:r>
      <w:r w:rsidDel="00000000" w:rsidR="00000000" w:rsidRPr="00000000">
        <w:rPr>
          <w:rFonts w:ascii="Century Gothic" w:cs="Century Gothic" w:eastAsia="Century Gothic" w:hAnsi="Century Gothic"/>
          <w:i w:val="1"/>
          <w:iCs w:val="1"/>
          <w:rtl w:val="0"/>
        </w:rPr>
        <w:t xml:space="preserve">Lawfare</w:t>
      </w:r>
      <w:r w:rsidDel="00000000" w:rsidR="00000000" w:rsidRPr="00000000">
        <w:rPr>
          <w:rFonts w:ascii="Century Gothic" w:cs="Century Gothic" w:eastAsia="Century Gothic" w:hAnsi="Century Gothic"/>
          <w:rtl w:val="0"/>
        </w:rPr>
        <w:t xml:space="preserve">, 2025, www.lawfaremedia.org/article/israel-s-excessive-destruction-in-gaza-violates-international-law. Accessed 25 Apr. 2026.</w:t>
      </w:r>
    </w:p>
    <w:p w:rsidR="00000000" w:rsidDel="00000000" w:rsidP="00000000" w:rsidRDefault="00000000" w:rsidRPr="00000000" w14:paraId="0000007F">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“Convention on the Prevention and Punishment of the Crime of Genocide.” </w:t>
      </w:r>
      <w:r w:rsidDel="00000000" w:rsidR="00000000" w:rsidRPr="00000000">
        <w:rPr>
          <w:rFonts w:ascii="Century Gothic" w:cs="Century Gothic" w:eastAsia="Century Gothic" w:hAnsi="Century Gothic"/>
          <w:i w:val="1"/>
          <w:iCs w:val="1"/>
          <w:rtl w:val="0"/>
        </w:rPr>
        <w:t xml:space="preserve">United Nations</w:t>
      </w:r>
      <w:r w:rsidDel="00000000" w:rsidR="00000000" w:rsidRPr="00000000">
        <w:rPr>
          <w:rFonts w:ascii="Century Gothic" w:cs="Century Gothic" w:eastAsia="Century Gothic" w:hAnsi="Century Gothic"/>
          <w:rtl w:val="0"/>
        </w:rPr>
        <w:t xml:space="preserve">, 9 Dec. 1948, www.ohchr.org/en/instruments-mechanisms/instruments/convention-prevention-and-punishment-crime-genocide.</w:t>
      </w:r>
    </w:p>
    <w:p w:rsidR="00000000" w:rsidDel="00000000" w:rsidP="00000000" w:rsidRDefault="00000000" w:rsidRPr="00000000" w14:paraId="00000080">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“History of the Question of Palestine.” </w:t>
      </w:r>
      <w:r w:rsidDel="00000000" w:rsidR="00000000" w:rsidRPr="00000000">
        <w:rPr>
          <w:rFonts w:ascii="Century Gothic" w:cs="Century Gothic" w:eastAsia="Century Gothic" w:hAnsi="Century Gothic"/>
          <w:i w:val="1"/>
          <w:iCs w:val="1"/>
          <w:rtl w:val="0"/>
        </w:rPr>
        <w:t xml:space="preserve">United Nations</w:t>
      </w:r>
      <w:r w:rsidDel="00000000" w:rsidR="00000000" w:rsidRPr="00000000">
        <w:rPr>
          <w:rFonts w:ascii="Century Gothic" w:cs="Century Gothic" w:eastAsia="Century Gothic" w:hAnsi="Century Gothic"/>
          <w:rtl w:val="0"/>
        </w:rPr>
        <w:t xml:space="preserve">, 2025, www.un.org/unispal/history/.</w:t>
      </w:r>
    </w:p>
    <w:p w:rsidR="00000000" w:rsidDel="00000000" w:rsidP="00000000" w:rsidRDefault="00000000" w:rsidRPr="00000000" w14:paraId="00000081">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Treaty Collection.” </w:t>
      </w:r>
      <w:r w:rsidDel="00000000" w:rsidR="00000000" w:rsidRPr="00000000">
        <w:rPr>
          <w:rFonts w:ascii="Century Gothic" w:cs="Century Gothic" w:eastAsia="Century Gothic" w:hAnsi="Century Gothic"/>
          <w:i w:val="1"/>
          <w:iCs w:val="1"/>
          <w:rtl w:val="0"/>
        </w:rPr>
        <w:t xml:space="preserve">Treaties.un.org</w:t>
      </w:r>
      <w:r w:rsidDel="00000000" w:rsidR="00000000" w:rsidRPr="00000000">
        <w:rPr>
          <w:rFonts w:ascii="Century Gothic" w:cs="Century Gothic" w:eastAsia="Century Gothic" w:hAnsi="Century Gothic"/>
          <w:rtl w:val="0"/>
        </w:rPr>
        <w:t xml:space="preserve">, treaties.un.org/Pages/ViewDetails.aspx?src=TREATY&amp;mtdsg_no=IV-1&amp;chapter=4.</w:t>
      </w:r>
    </w:p>
    <w:p w:rsidR="00000000" w:rsidDel="00000000" w:rsidP="00000000" w:rsidRDefault="00000000" w:rsidRPr="00000000" w14:paraId="00000082">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“UNOCHA.” </w:t>
      </w:r>
      <w:r w:rsidDel="00000000" w:rsidR="00000000" w:rsidRPr="00000000">
        <w:rPr>
          <w:rFonts w:ascii="Century Gothic" w:cs="Century Gothic" w:eastAsia="Century Gothic" w:hAnsi="Century Gothic"/>
          <w:i w:val="1"/>
          <w:iCs w:val="1"/>
          <w:rtl w:val="0"/>
        </w:rPr>
        <w:t xml:space="preserve">Unocha.org</w:t>
      </w:r>
      <w:r w:rsidDel="00000000" w:rsidR="00000000" w:rsidRPr="00000000">
        <w:rPr>
          <w:rFonts w:ascii="Century Gothic" w:cs="Century Gothic" w:eastAsia="Century Gothic" w:hAnsi="Century Gothic"/>
          <w:rtl w:val="0"/>
        </w:rPr>
        <w:t xml:space="preserve">, 24 Apr. 2026, www.unocha.org/. Accessed 25 Apr. 2026.</w:t>
      </w:r>
    </w:p>
    <w:p w:rsidR="00000000" w:rsidDel="00000000" w:rsidP="00000000" w:rsidRDefault="00000000" w:rsidRPr="00000000" w14:paraId="00000083">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Population Review. “Gaza Population 2026.” </w:t>
      </w:r>
      <w:r w:rsidDel="00000000" w:rsidR="00000000" w:rsidRPr="00000000">
        <w:rPr>
          <w:rFonts w:ascii="Century Gothic" w:cs="Century Gothic" w:eastAsia="Century Gothic" w:hAnsi="Century Gothic"/>
          <w:i w:val="1"/>
          <w:iCs w:val="1"/>
          <w:rtl w:val="0"/>
        </w:rPr>
        <w:t xml:space="preserve">World Population Review</w:t>
      </w:r>
      <w:r w:rsidDel="00000000" w:rsidR="00000000" w:rsidRPr="00000000">
        <w:rPr>
          <w:rFonts w:ascii="Century Gothic" w:cs="Century Gothic" w:eastAsia="Century Gothic" w:hAnsi="Century Gothic"/>
          <w:rtl w:val="0"/>
        </w:rPr>
        <w:t xml:space="preserve">, 17 Apr. 2026, worldpopulationreview.com/cities/palestine/gaza. Accessed 22 Apr. 2026.</w:t>
      </w:r>
    </w:p>
    <w:p w:rsidR="00000000" w:rsidDel="00000000" w:rsidP="00000000" w:rsidRDefault="00000000" w:rsidRPr="00000000" w14:paraId="00000084">
      <w:pPr>
        <w:widowControl w:val="0"/>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i w:val="1"/>
          <w:iCs w:val="1"/>
          <w:rtl w:val="0"/>
        </w:rPr>
        <w:t xml:space="preserve">Icrc.org</w:t>
      </w:r>
      <w:r w:rsidDel="00000000" w:rsidR="00000000" w:rsidRPr="00000000">
        <w:rPr>
          <w:rFonts w:ascii="Century Gothic" w:cs="Century Gothic" w:eastAsia="Century Gothic" w:hAnsi="Century Gothic"/>
          <w:rtl w:val="0"/>
        </w:rPr>
        <w:t xml:space="preserve">, 2024, ihl-databases.icrc.org/en/ihl-treaties/genocide-conv-1948/state-parties.</w:t>
      </w:r>
    </w:p>
    <w:p w:rsidR="00000000" w:rsidDel="00000000" w:rsidP="00000000" w:rsidRDefault="00000000" w:rsidRPr="00000000" w14:paraId="00000085">
      <w:pPr>
        <w:spacing w:line="360" w:lineRule="auto"/>
        <w:jc w:val="both"/>
        <w:rPr>
          <w:rFonts w:ascii="Century Gothic" w:cs="Century Gothic" w:eastAsia="Century Gothic" w:hAnsi="Century Gothic"/>
          <w:highlight w:val="white"/>
        </w:rPr>
      </w:pPr>
      <w:r w:rsidDel="00000000" w:rsidR="00000000" w:rsidRPr="00000000">
        <w:rPr>
          <w:rtl w:val="0"/>
        </w:rPr>
      </w:r>
    </w:p>
    <w:sectPr>
      <w:headerReference r:id="rId19" w:type="default"/>
      <w:footerReference r:id="rId20" w:type="default"/>
      <w:pgSz w:h="15840" w:w="12240" w:orient="portrait"/>
      <w:pgMar w:bottom="1440" w:top="1440" w:left="1440" w:right="1440" w:header="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ecretariat ISP" w:id="1" w:date="2026-04-27T18:34:30Z">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Good, just try to limit repetition from intro</w:t>
      </w:r>
    </w:p>
  </w:comment>
  <w:comment w:author="Secretariat ISP" w:id="0" w:date="2026-04-27T18:32:32Z">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define</w:t>
      </w:r>
    </w:p>
  </w:comment>
  <w:comment w:author="Secretariat ISP" w:id="4" w:date="2026-05-18T18:19:06Z">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Also good, but also requires revision of grammar mistakes</w:t>
      </w:r>
    </w:p>
  </w:comment>
  <w:comment w:author="Secretariat ISP" w:id="2" w:date="2026-05-11T00:43:25Z">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Solid</w:t>
      </w:r>
    </w:p>
  </w:comment>
  <w:comment w:author="Secretariat ISP" w:id="3" w:date="2026-05-18T18:18:37Z">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Good, fix grammar mistakes.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XXXVI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www.ohchr.org/en/instruments-mechanisms/instruments/convention-prevention-and-punishment-crime-genocide" TargetMode="External"/><Relationship Id="rId10" Type="http://schemas.openxmlformats.org/officeDocument/2006/relationships/hyperlink" Target="https://www.icj-cij.org/case/192" TargetMode="External"/><Relationship Id="rId13" Type="http://schemas.openxmlformats.org/officeDocument/2006/relationships/hyperlink" Target="https://www.aljazeera.com/news/2024/1/12/icj-genocide-case-what-are-israels-main-arguments" TargetMode="External"/><Relationship Id="rId12" Type="http://schemas.openxmlformats.org/officeDocument/2006/relationships/hyperlink" Target="https://www.un.org/unispal/document/icj-provisional-measures-24may24/"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icj-cij.org/case/192" TargetMode="External"/><Relationship Id="rId15" Type="http://schemas.openxmlformats.org/officeDocument/2006/relationships/hyperlink" Target="https://www.un.org/unispal/history/" TargetMode="External"/><Relationship Id="rId14" Type="http://schemas.openxmlformats.org/officeDocument/2006/relationships/hyperlink" Target="https://www.lawfaremedia.org/article/understanding-south-africa-v.-israel-at-the-international-court-of-justice" TargetMode="External"/><Relationship Id="rId17" Type="http://schemas.openxmlformats.org/officeDocument/2006/relationships/hyperlink" Target="https://www.unocha.org/" TargetMode="External"/><Relationship Id="rId16" Type="http://schemas.openxmlformats.org/officeDocument/2006/relationships/hyperlink" Target="https://www.congress.gov/crs-product/R47828" TargetMode="External"/><Relationship Id="rId5" Type="http://schemas.openxmlformats.org/officeDocument/2006/relationships/numbering" Target="numbering.xml"/><Relationship Id="rId19" Type="http://schemas.openxmlformats.org/officeDocument/2006/relationships/header" Target="header1.xml"/><Relationship Id="rId6" Type="http://schemas.openxmlformats.org/officeDocument/2006/relationships/styles" Target="styles.xml"/><Relationship Id="rId18" Type="http://schemas.openxmlformats.org/officeDocument/2006/relationships/hyperlink" Target="https://ihl-databases.icrc.org/en/ihl-treaties/genocide-conv-1948/state-parties" TargetMode="External"/><Relationship Id="rId7" Type="http://schemas.openxmlformats.org/officeDocument/2006/relationships/customXml" Target="../customXML/item1.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