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line="276" w:lineRule="auto"/>
        <w:jc w:val="both"/>
        <w:rPr>
          <w:rFonts w:ascii="Century Gothic" w:cs="Century Gothic" w:eastAsia="Century Gothic" w:hAnsi="Century Gothic"/>
        </w:rPr>
      </w:pPr>
      <w:bookmarkStart w:colFirst="0" w:colLast="0" w:name="_2n56boxrp53s" w:id="0"/>
      <w:bookmarkEnd w:id="0"/>
      <w:r w:rsidDel="00000000" w:rsidR="00000000" w:rsidRPr="00000000">
        <w:rPr>
          <w:rFonts w:ascii="Century Gothic" w:cs="Century Gothic" w:eastAsia="Century Gothic" w:hAnsi="Century Gothic"/>
          <w:b w:val="1"/>
          <w:bCs w:val="1"/>
          <w:rtl w:val="0"/>
        </w:rPr>
        <w:t xml:space="preserve">Foro:</w:t>
      </w:r>
      <w:r w:rsidDel="00000000" w:rsidR="00000000" w:rsidRPr="00000000">
        <w:rPr>
          <w:rFonts w:ascii="Century Gothic" w:cs="Century Gothic" w:eastAsia="Century Gothic" w:hAnsi="Century Gothic"/>
          <w:rtl w:val="0"/>
        </w:rPr>
        <w:t xml:space="preserve"> Comisión de Drogas y Narcóticos (CDN)</w:t>
      </w:r>
    </w:p>
    <w:p w:rsidR="00000000" w:rsidDel="00000000" w:rsidP="00000000" w:rsidRDefault="00000000" w:rsidRPr="00000000" w14:paraId="00000002">
      <w:pPr>
        <w:pageBreakBefore w:val="0"/>
        <w:widowControl w:val="0"/>
        <w:spacing w:after="200" w:line="276" w:lineRule="auto"/>
        <w:jc w:val="both"/>
        <w:rPr>
          <w:rFonts w:ascii="Century Gothic" w:cs="Century Gothic" w:eastAsia="Century Gothic" w:hAnsi="Century Gothic"/>
        </w:rPr>
      </w:pPr>
      <w:bookmarkStart w:colFirst="0" w:colLast="0" w:name="_r9qdo88jlie1" w:id="1"/>
      <w:bookmarkEnd w:id="1"/>
      <w:r w:rsidDel="00000000" w:rsidR="00000000" w:rsidRPr="00000000">
        <w:rPr>
          <w:rFonts w:ascii="Century Gothic" w:cs="Century Gothic" w:eastAsia="Century Gothic" w:hAnsi="Century Gothic"/>
          <w:b w:val="1"/>
          <w:bCs w:val="1"/>
          <w:rtl w:val="0"/>
        </w:rPr>
        <w:t xml:space="preserve">Tema #1 : </w:t>
      </w:r>
      <w:r w:rsidDel="00000000" w:rsidR="00000000" w:rsidRPr="00000000">
        <w:rPr>
          <w:rFonts w:ascii="Century Gothic" w:cs="Century Gothic" w:eastAsia="Century Gothic" w:hAnsi="Century Gothic"/>
          <w:rtl w:val="0"/>
        </w:rPr>
        <w:t xml:space="preserve">Prevención del mercado ilegal de precursores químicos y la responsabilidad de las corporaciones multinacionales</w:t>
      </w:r>
    </w:p>
    <w:p w:rsidR="00000000" w:rsidDel="00000000" w:rsidP="00000000" w:rsidRDefault="00000000" w:rsidRPr="00000000" w14:paraId="00000003">
      <w:pPr>
        <w:pageBreakBefore w:val="0"/>
        <w:widowControl w:val="0"/>
        <w:spacing w:after="200" w:line="276" w:lineRule="auto"/>
        <w:jc w:val="both"/>
        <w:rPr>
          <w:rFonts w:ascii="Century Gothic" w:cs="Century Gothic" w:eastAsia="Century Gothic" w:hAnsi="Century Gothic"/>
        </w:rPr>
      </w:pPr>
      <w:bookmarkStart w:colFirst="0" w:colLast="0" w:name="_1tp86eotkkxj" w:id="2"/>
      <w:bookmarkEnd w:id="2"/>
      <w:r w:rsidDel="00000000" w:rsidR="00000000" w:rsidRPr="00000000">
        <w:rPr>
          <w:rFonts w:ascii="Century Gothic" w:cs="Century Gothic" w:eastAsia="Century Gothic" w:hAnsi="Century Gothic"/>
          <w:b w:val="1"/>
          <w:bCs w:val="1"/>
          <w:rtl w:val="0"/>
        </w:rPr>
        <w:t xml:space="preserve">Oficial Estudiantil:</w:t>
      </w:r>
      <w:r w:rsidDel="00000000" w:rsidR="00000000" w:rsidRPr="00000000">
        <w:rPr>
          <w:rFonts w:ascii="Century Gothic" w:cs="Century Gothic" w:eastAsia="Century Gothic" w:hAnsi="Century Gothic"/>
          <w:rtl w:val="0"/>
        </w:rPr>
        <w:t xml:space="preserve"> Victoria Araúz</w:t>
      </w:r>
    </w:p>
    <w:p w:rsidR="00000000" w:rsidDel="00000000" w:rsidP="00000000" w:rsidRDefault="00000000" w:rsidRPr="00000000" w14:paraId="00000004">
      <w:pPr>
        <w:pageBreakBefore w:val="0"/>
        <w:widowControl w:val="0"/>
        <w:spacing w:after="200" w:line="276"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Posición: </w:t>
      </w:r>
      <w:r w:rsidDel="00000000" w:rsidR="00000000" w:rsidRPr="00000000">
        <w:rPr>
          <w:rFonts w:ascii="Century Gothic" w:cs="Century Gothic" w:eastAsia="Century Gothic" w:hAnsi="Century Gothic"/>
          <w:rtl w:val="0"/>
        </w:rPr>
        <w:t xml:space="preserve">Moderadora de Comisión de Drogas y Narcóticos (CDN)</w:t>
      </w:r>
      <w:r w:rsidDel="00000000" w:rsidR="00000000" w:rsidRPr="00000000">
        <w:rPr>
          <w:rtl w:val="0"/>
        </w:rPr>
      </w:r>
    </w:p>
    <w:p w:rsidR="00000000" w:rsidDel="00000000" w:rsidP="00000000" w:rsidRDefault="00000000" w:rsidRPr="00000000" w14:paraId="00000005">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
                <a:graphic>
                  <a:graphicData uri="http://schemas.microsoft.com/office/word/2010/wordprocessingShape">
                    <wps:wsp>
                      <wps:cNvSpPr/>
                      <wps:cNvPr id="2" name="Shape 2"/>
                      <wps:spPr>
                        <a:xfrm>
                          <a:off x="2024950" y="3780000"/>
                          <a:ext cx="6642100" cy="0"/>
                        </a:xfrm>
                        <a:custGeom>
                          <a:rect b="b" l="l" r="r" t="t"/>
                          <a:pathLst>
                            <a:path extrusionOk="0" h="1" w="6642100">
                              <a:moveTo>
                                <a:pt x="0" y="0"/>
                              </a:moveTo>
                              <a:lnTo>
                                <a:pt x="66421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642100" cy="12700"/>
                        </a:xfrm>
                        <a:prstGeom prst="rect"/>
                        <a:ln/>
                      </pic:spPr>
                    </pic:pic>
                  </a:graphicData>
                </a:graphic>
              </wp:anchor>
            </w:drawing>
          </mc:Fallback>
        </mc:AlternateContent>
      </w:r>
    </w:p>
    <w:p w:rsidR="00000000" w:rsidDel="00000000" w:rsidP="00000000" w:rsidRDefault="00000000" w:rsidRPr="00000000" w14:paraId="00000006">
      <w:pPr>
        <w:pageBreakBefore w:val="0"/>
        <w:widowControl w:val="0"/>
        <w:spacing w:after="200" w:line="360" w:lineRule="auto"/>
        <w:jc w:val="center"/>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129213" cy="3069288"/>
            <wp:effectExtent b="0" l="0" r="0" t="0"/>
            <wp:docPr id="2" name="image1.png"/>
            <a:graphic>
              <a:graphicData uri="http://schemas.openxmlformats.org/drawingml/2006/picture">
                <pic:pic>
                  <pic:nvPicPr>
                    <pic:cNvPr id="0" name="image1.png"/>
                    <pic:cNvPicPr preferRelativeResize="0"/>
                  </pic:nvPicPr>
                  <pic:blipFill>
                    <a:blip r:embed="rId7"/>
                    <a:srcRect b="9970" l="0" r="0" t="0"/>
                    <a:stretch>
                      <a:fillRect/>
                    </a:stretch>
                  </pic:blipFill>
                  <pic:spPr>
                    <a:xfrm>
                      <a:off x="0" y="0"/>
                      <a:ext cx="5129213" cy="306928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480" w:lineRule="auto"/>
        <w:ind w:left="1200" w:hanging="60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https://copolad.eu/es. “Copolad.” </w:t>
      </w:r>
      <w:r w:rsidDel="00000000" w:rsidR="00000000" w:rsidRPr="00000000">
        <w:rPr>
          <w:rFonts w:ascii="Century Gothic" w:cs="Century Gothic" w:eastAsia="Century Gothic" w:hAnsi="Century Gothic"/>
          <w:i w:val="1"/>
          <w:iCs w:val="1"/>
          <w:rtl w:val="0"/>
        </w:rPr>
        <w:t xml:space="preserve">Copolad</w:t>
      </w:r>
      <w:r w:rsidDel="00000000" w:rsidR="00000000" w:rsidRPr="00000000">
        <w:rPr>
          <w:rFonts w:ascii="Century Gothic" w:cs="Century Gothic" w:eastAsia="Century Gothic" w:hAnsi="Century Gothic"/>
          <w:rtl w:val="0"/>
        </w:rPr>
        <w:t xml:space="preserve">, 10 Sept. 2024, https://copolad.eu/es/formacion/curso-superior-de-especializacion-en-el-control-e-investigacion-en-los-precursores-de-drogas/. Accessed 9 June 2026.</w:t>
      </w:r>
    </w:p>
    <w:p w:rsidR="00000000" w:rsidDel="00000000" w:rsidP="00000000" w:rsidRDefault="00000000" w:rsidRPr="00000000" w14:paraId="00000008">
      <w:pPr>
        <w:widowControl w:val="0"/>
        <w:spacing w:line="480" w:lineRule="auto"/>
        <w:ind w:left="1200" w:hanging="60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Introducción</w:t>
      </w:r>
      <w:r w:rsidDel="00000000" w:rsidR="00000000" w:rsidRPr="00000000">
        <w:rPr>
          <w:rtl w:val="0"/>
        </w:rPr>
      </w:r>
    </w:p>
    <w:p w:rsidR="00000000" w:rsidDel="00000000" w:rsidP="00000000" w:rsidRDefault="00000000" w:rsidRPr="00000000" w14:paraId="0000000A">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precursores químicos son sustancias esenciales para la producción farmacéutica y manufacturera, pero su desvío sistemático alimenta el narcotráfico sintético más letal de la historia (UNODC, 2025). El mercado ilegal de precursores se refiere al comercio ilícito de sustancias químicas controladas como efedrina, ácido fenilacético y acetona, desviadas desde cadenas legítimas hacia laboratorios clandestinos (INCB, 2024). La responsabilidad corporativa alude a la obligación ética y legal de las multinacionales químicas de implementar trazabilidad efectiva en sus cadenas de suministro, evitando que sus productos financian el crimen organizado (REACH, UE).</w:t>
      </w:r>
    </w:p>
    <w:p w:rsidR="00000000" w:rsidDel="00000000" w:rsidP="00000000" w:rsidRDefault="00000000" w:rsidRPr="00000000" w14:paraId="0000000B">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Estos conceptos se entrelazan cuando corporaciones en India, China y Alemania exportan a granel sin controles reales, utilizando puertos como Rotterdam (40% del comercio químico mundial), Panamá y Algeciras como tránsito opaco. "México recibe el 80% de precursores químicos ilegales para producir fentanilo que mata 100.000 personas anuales solo en Estados Unidos" (UNODC World Drug Report, 2025).</w:t>
      </w:r>
    </w:p>
    <w:p w:rsidR="00000000" w:rsidDel="00000000" w:rsidP="00000000" w:rsidRDefault="00000000" w:rsidRPr="00000000" w14:paraId="0000000C">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problema no es solo criminal, sino estructural. Países en desarrollo como Perú, Ghana y Filipinas incautan contenedores abandonados sin capacidad técnica para su destrucción, quedando con costos millonarios mientras multinacionales evaden responsabilidad. Las empresas químicas operan bajo regulaciones voluntarias (INCB), priorizando ganancias sobre auditorías obligatorias que podrían prevenir 70.000 toneladas anuales de desvíos.</w:t>
      </w:r>
    </w:p>
    <w:p w:rsidR="00000000" w:rsidDel="00000000" w:rsidP="00000000" w:rsidRDefault="00000000" w:rsidRPr="00000000" w14:paraId="0000000D">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Igualmente crítico es el impacto socioeconómico. En regiones marginadas, los narcos ofrecen empleos en laboratorios químicos clandestinos, sustituyendo al estado ausente. La jerarquía cartelera coloca a capos químicos en la cima, controlando rutas desde Asia hasta México, mientras comunidades vulnerables normalizan el desvío como "economía alternativa" (InSight Crime, 2024).</w:t>
      </w:r>
      <w:r w:rsidDel="00000000" w:rsidR="00000000" w:rsidRPr="00000000">
        <w:rPr>
          <w:rtl w:val="0"/>
        </w:rPr>
      </w:r>
    </w:p>
    <w:p w:rsidR="00000000" w:rsidDel="00000000" w:rsidP="00000000" w:rsidRDefault="00000000" w:rsidRPr="00000000" w14:paraId="0000000E">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Definición de Términos Importantes</w:t>
      </w:r>
    </w:p>
    <w:p w:rsidR="00000000" w:rsidDel="00000000" w:rsidP="00000000" w:rsidRDefault="00000000" w:rsidRPr="00000000" w14:paraId="00000010">
      <w:pPr>
        <w:pageBreakBefore w:val="0"/>
        <w:widowControl w:val="0"/>
        <w:spacing w:after="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Precursores Químicos</w:t>
      </w:r>
      <w:r w:rsidDel="00000000" w:rsidR="00000000" w:rsidRPr="00000000">
        <w:rPr>
          <w:rFonts w:ascii="Century Gothic" w:cs="Century Gothic" w:eastAsia="Century Gothic" w:hAnsi="Century Gothic"/>
          <w:rtl w:val="0"/>
        </w:rPr>
        <w:t xml:space="preserve">: Sustancias legales utilizadas en industrias farmacéuticas, agrícolas y manufactureras (efedrina, ácido fenilacético, acetona, solventes) que pueden desviarse para fabricar drogas ilícitas como fentanilo, metanfetaminas y MDMA. Reguladas por la Convención Única de 1988 (UNODC).</w:t>
      </w:r>
      <w:r w:rsidDel="00000000" w:rsidR="00000000" w:rsidRPr="00000000">
        <w:rPr>
          <w:rtl w:val="0"/>
        </w:rPr>
      </w:r>
    </w:p>
    <w:p w:rsidR="00000000" w:rsidDel="00000000" w:rsidP="00000000" w:rsidRDefault="00000000" w:rsidRPr="00000000" w14:paraId="00000011">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Fentanilo</w:t>
      </w:r>
      <w:r w:rsidDel="00000000" w:rsidR="00000000" w:rsidRPr="00000000">
        <w:rPr>
          <w:rFonts w:ascii="Century Gothic" w:cs="Century Gothic" w:eastAsia="Century Gothic" w:hAnsi="Century Gothic"/>
          <w:rtl w:val="0"/>
        </w:rPr>
        <w:t xml:space="preserve">: Opioide sintético 50-100 veces más potente que la morfina, producido en super laboratorios clandestinos mexicanos usando precursores asiáticos/europeos. Causa 70% de las sobredosis fatales en Norteamérica (70.000 muertes anuales).</w:t>
      </w:r>
    </w:p>
    <w:p w:rsidR="00000000" w:rsidDel="00000000" w:rsidP="00000000" w:rsidRDefault="00000000" w:rsidRPr="00000000" w14:paraId="00000012">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Superlaboratorios</w:t>
      </w:r>
      <w:r w:rsidDel="00000000" w:rsidR="00000000" w:rsidRPr="00000000">
        <w:rPr>
          <w:rFonts w:ascii="Century Gothic" w:cs="Century Gothic" w:eastAsia="Century Gothic" w:hAnsi="Century Gothic"/>
          <w:rtl w:val="0"/>
        </w:rPr>
        <w:t xml:space="preserve">: Instalaciones industriales clandestinas (principalmente México) capaces de producir toneladas métricas de drogas sintéticas semanalmente, equipadas con tecnología química profesional desviada de cadenas legítimas.</w:t>
      </w:r>
    </w:p>
    <w:p w:rsidR="00000000" w:rsidDel="00000000" w:rsidP="00000000" w:rsidRDefault="00000000" w:rsidRPr="00000000" w14:paraId="00000013">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Trazabilidad</w:t>
      </w:r>
      <w:r w:rsidDel="00000000" w:rsidR="00000000" w:rsidRPr="00000000">
        <w:rPr>
          <w:rFonts w:ascii="Century Gothic" w:cs="Century Gothic" w:eastAsia="Century Gothic" w:hAnsi="Century Gothic"/>
          <w:rtl w:val="0"/>
        </w:rPr>
        <w:t xml:space="preserve">: Capacidad de seguir un producto químico desde su fabricación hasta su destino final, identificando lote, proveedor y ruta. Esencial para prevenir desvíos pero voluntaria en la mayoría de jurisdicciones (REACH, INCB).</w:t>
      </w:r>
    </w:p>
    <w:p w:rsidR="00000000" w:rsidDel="00000000" w:rsidP="00000000" w:rsidRDefault="00000000" w:rsidRPr="00000000" w14:paraId="00000014">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Responsabilidad Corporativa</w:t>
      </w:r>
      <w:r w:rsidDel="00000000" w:rsidR="00000000" w:rsidRPr="00000000">
        <w:rPr>
          <w:rFonts w:ascii="Century Gothic" w:cs="Century Gothic" w:eastAsia="Century Gothic" w:hAnsi="Century Gothic"/>
          <w:rtl w:val="0"/>
        </w:rPr>
        <w:t xml:space="preserve">: Obligación ética/legal de multinacionales químicas de implementar controles obligatorios en cadenas de suministro para evitar que sus productos lleguen al narcotráfico. Actualmente limitada a autorregulación voluntaria.</w:t>
      </w:r>
    </w:p>
    <w:p w:rsidR="00000000" w:rsidDel="00000000" w:rsidP="00000000" w:rsidRDefault="00000000" w:rsidRPr="00000000" w14:paraId="00000015">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REACH</w:t>
      </w:r>
      <w:r w:rsidDel="00000000" w:rsidR="00000000" w:rsidRPr="00000000">
        <w:rPr>
          <w:rFonts w:ascii="Century Gothic" w:cs="Century Gothic" w:eastAsia="Century Gothic" w:hAnsi="Century Gothic"/>
          <w:rtl w:val="0"/>
        </w:rPr>
        <w:t xml:space="preserve">: Reglamento europeo (2007) que controla 1.000 sustancias químicas pero aplica solo dentro UE; exportaciones a México/Asia carecen de fiscalización vinculante.</w:t>
      </w:r>
    </w:p>
    <w:p w:rsidR="00000000" w:rsidDel="00000000" w:rsidP="00000000" w:rsidRDefault="00000000" w:rsidRPr="00000000" w14:paraId="00000016">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INCB (Junta Internacional de Fiscalización de Estupefacientes)</w:t>
      </w:r>
      <w:r w:rsidDel="00000000" w:rsidR="00000000" w:rsidRPr="00000000">
        <w:rPr>
          <w:rFonts w:ascii="Century Gothic" w:cs="Century Gothic" w:eastAsia="Century Gothic" w:hAnsi="Century Gothic"/>
          <w:rtl w:val="0"/>
        </w:rPr>
        <w:t xml:space="preserve">: Órgano ONU que monitorea comercio global de precursores. Su sistema PICS detecta sospechas pero sin poder coercitivo contra corporaciones.</w:t>
      </w:r>
    </w:p>
    <w:p w:rsidR="00000000" w:rsidDel="00000000" w:rsidP="00000000" w:rsidRDefault="00000000" w:rsidRPr="00000000" w14:paraId="00000017">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Desvío de Precursores</w:t>
      </w:r>
      <w:r w:rsidDel="00000000" w:rsidR="00000000" w:rsidRPr="00000000">
        <w:rPr>
          <w:rFonts w:ascii="Century Gothic" w:cs="Century Gothic" w:eastAsia="Century Gothic" w:hAnsi="Century Gothic"/>
          <w:rtl w:val="0"/>
        </w:rPr>
        <w:t xml:space="preserve">: Transferencia intencional de sustancias químicas legales desde canales legítimos hacia producción ilícita, principal problema estructural del narcotráfico sintético moderno.</w:t>
      </w:r>
    </w:p>
    <w:p w:rsidR="00000000" w:rsidDel="00000000" w:rsidP="00000000" w:rsidRDefault="00000000" w:rsidRPr="00000000" w14:paraId="00000018">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Supply Chain Química</w:t>
      </w:r>
      <w:r w:rsidDel="00000000" w:rsidR="00000000" w:rsidRPr="00000000">
        <w:rPr>
          <w:rFonts w:ascii="Century Gothic" w:cs="Century Gothic" w:eastAsia="Century Gothic" w:hAnsi="Century Gothic"/>
          <w:rtl w:val="0"/>
        </w:rPr>
        <w:t xml:space="preserve">: Cadena completa desde producción (India/Alemania), puertos tránsito (Rotterdam/Panamá), importación (México) hasta transformación en super labs. Punto débil: falta de certificación obligatoria end-to-end.</w:t>
      </w:r>
    </w:p>
    <w:p w:rsidR="00000000" w:rsidDel="00000000" w:rsidP="00000000" w:rsidRDefault="00000000" w:rsidRPr="00000000" w14:paraId="00000019">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Precursores de Diseño</w:t>
      </w:r>
      <w:r w:rsidDel="00000000" w:rsidR="00000000" w:rsidRPr="00000000">
        <w:rPr>
          <w:rFonts w:ascii="Century Gothic" w:cs="Century Gothic" w:eastAsia="Century Gothic" w:hAnsi="Century Gothic"/>
          <w:rtl w:val="0"/>
        </w:rPr>
        <w:t xml:space="preserve">: Nuevas sustancias químicas alteradas molecularmente para evadir listas de control INCB, detectadas desde 2023 como amenaza creciente.</w:t>
      </w:r>
    </w:p>
    <w:p w:rsidR="00000000" w:rsidDel="00000000" w:rsidP="00000000" w:rsidRDefault="00000000" w:rsidRPr="00000000" w14:paraId="0000001A">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pageBreakBefore w:val="0"/>
        <w:widowControl w:val="0"/>
        <w:spacing w:after="200" w:line="360" w:lineRule="auto"/>
        <w:jc w:val="both"/>
        <w:rPr>
          <w:rFonts w:ascii="Century Gothic" w:cs="Century Gothic" w:eastAsia="Century Gothic" w:hAnsi="Century Gothic"/>
          <w:b w:val="1"/>
          <w:bCs w:val="1"/>
          <w:i w:val="1"/>
          <w:iCs w:val="1"/>
          <w:color w:val="0000ff"/>
        </w:rPr>
      </w:pPr>
      <w:r w:rsidDel="00000000" w:rsidR="00000000" w:rsidRPr="00000000">
        <w:rPr>
          <w:rFonts w:ascii="Century Gothic" w:cs="Century Gothic" w:eastAsia="Century Gothic" w:hAnsi="Century Gothic"/>
          <w:b w:val="1"/>
          <w:bCs w:val="1"/>
          <w:color w:val="0000ff"/>
          <w:rtl w:val="0"/>
        </w:rPr>
        <w:t xml:space="preserve">Información General</w:t>
      </w:r>
      <w:r w:rsidDel="00000000" w:rsidR="00000000" w:rsidRPr="00000000">
        <w:rPr>
          <w:rtl w:val="0"/>
        </w:rPr>
      </w:r>
    </w:p>
    <w:p w:rsidR="00000000" w:rsidDel="00000000" w:rsidP="00000000" w:rsidRDefault="00000000" w:rsidRPr="00000000" w14:paraId="0000001C">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Contexto</w:t>
      </w:r>
    </w:p>
    <w:p w:rsidR="00000000" w:rsidDel="00000000" w:rsidP="00000000" w:rsidRDefault="00000000" w:rsidRPr="00000000" w14:paraId="0000001D">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mercado ilegal de precursores químicos es un delito transnacional donde corporaciones legítimas y grupos criminales desvían sustancias químicas controladas (efedrina, ácido fenilacético, acetona) hacia laboratorios clandestinos para producir fentanilo, metanfetaminas y captagon. No es solo tráfico químico, sino un sistema global de supply chains complejas que aprovecha puertos clave como Rotterdam, Panamá y Manzanillo.</w:t>
      </w:r>
    </w:p>
    <w:p w:rsidR="00000000" w:rsidDel="00000000" w:rsidP="00000000" w:rsidRDefault="00000000" w:rsidRPr="00000000" w14:paraId="0000001E">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monta sobre redes preexistentes: industrias farmacéuticas asiáticas/europeas, logística marítima internacional y corrupción aduanera portuaria. Los precursores primero salen de fábricas legales en India/Alemania, pasan por puertos tránsito (Países Bajos, España, Ghana), y llegan a México para transformación industrial. Los mercados finales son Norteamérica (80% fentanilo), Europa y Asia emergente (UNODC, 2025).</w:t>
      </w:r>
    </w:p>
    <w:p w:rsidR="00000000" w:rsidDel="00000000" w:rsidP="00000000" w:rsidRDefault="00000000" w:rsidRPr="00000000" w14:paraId="0000001F">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Adicionalmente, comunidades vulnerables portuarias se convierten en terreno fértil para la logística narco. En regiones marginadas de Panamá, Ecuador y Nigeria, las opciones para jóvenes son limitadas: trabajo informal precario, migración forzada o reclutamiento en desvíos químicos que ofrecen ingresos rápidos. La corrupción sistémica y ausencia estatal fomentan la participación en cadenas ilícitas, perpetuando exclusión económica (InSight Crime, 2024).</w:t>
      </w:r>
    </w:p>
    <w:p w:rsidR="00000000" w:rsidDel="00000000" w:rsidP="00000000" w:rsidRDefault="00000000" w:rsidRPr="00000000" w14:paraId="00000020">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Factores Estructurales que Alimentan el Mercado Ilegal de Precursores Químicos </w:t>
      </w:r>
    </w:p>
    <w:p w:rsidR="00000000" w:rsidDel="00000000" w:rsidP="00000000" w:rsidRDefault="00000000" w:rsidRPr="00000000" w14:paraId="00000021">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pobreza y falta de empleo formal en zonas portuarias son aprovechadas por redes criminales para reclutar mano de obra en desvíos químicos. Para trabajadores de bajos recursos en puertos como Manzanillo, Tema o Guayaquil, la promesa de pagos rápidos por "cuidar contenedores" resulta irresistible (InSight Crime, 2024).</w:t>
      </w:r>
    </w:p>
    <w:p w:rsidR="00000000" w:rsidDel="00000000" w:rsidP="00000000" w:rsidRDefault="00000000" w:rsidRPr="00000000" w14:paraId="00000022">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solo esto, sino que las rutas de precursores se concentran en regiones con desarrollo económico y humano mínimo, comunidades portuarias donde la presencia estatal es nula y la logística química ilícita se convierte en la única fuente viable de ingresos (UNODC, 2025).</w:t>
      </w:r>
    </w:p>
    <w:p w:rsidR="00000000" w:rsidDel="00000000" w:rsidP="00000000" w:rsidRDefault="00000000" w:rsidRPr="00000000" w14:paraId="00000023">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Ya que no hay control aduanero efectivo, los carteles y empresas corruptas llenan ese vacío estatal, controlando inspecciones y documentación. Poblaciones portuarias –estibadores, transportistas, aduaneros– se vuelven dependientes del desvío químico como supervivencia económica, normalizando contenedores "fantasma" como parte del trabajo diario.</w:t>
      </w:r>
      <w:r w:rsidDel="00000000" w:rsidR="00000000" w:rsidRPr="00000000">
        <w:rPr>
          <w:rtl w:val="0"/>
        </w:rPr>
      </w:r>
    </w:p>
    <w:p w:rsidR="00000000" w:rsidDel="00000000" w:rsidP="00000000" w:rsidRDefault="00000000" w:rsidRPr="00000000" w14:paraId="00000024">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Transformación Económica a través del Mercado de Precursores Químicos</w:t>
      </w:r>
    </w:p>
    <w:p w:rsidR="00000000" w:rsidDel="00000000" w:rsidP="00000000" w:rsidRDefault="00000000" w:rsidRPr="00000000" w14:paraId="00000025">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tráfico ilícito de precursores químicos ha transformado por completo las economías de puertos estratégicos, donde la logística narco se ha convertido en el motor económico principal. En Manzanillo, por ejemplo, el manejo de contenedores químicos "informales" genera ingresos cinco veces mayores que el puerto legal, llevando a generaciones enteras de estibadores a dejar trabajos formales por estas actividades mejor pagadas.</w:t>
      </w:r>
    </w:p>
    <w:p w:rsidR="00000000" w:rsidDel="00000000" w:rsidP="00000000" w:rsidRDefault="00000000" w:rsidRPr="00000000" w14:paraId="00000026">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Esto ha creado economías químicas paralelas que prácticamente reemplazan al Estado: los carteles proveen transporte, seguridad privada e incluso microcréditos a las comunidades portuarias, mientras los gobiernos terminaron recaudando solo impuestos indirectos de los pocos contenedores "limpios". En Tema, Ghana, se estima que el desvío químico representa cerca del 60% del PIB informal local, desplazando actividades tradicionales como la pesca o el comercio legítimo.</w:t>
      </w:r>
    </w:p>
    <w:p w:rsidR="00000000" w:rsidDel="00000000" w:rsidP="00000000" w:rsidRDefault="00000000" w:rsidRPr="00000000" w14:paraId="00000027">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jóvenes están abandonando carreras técnicas para seguir "carreras químicas" –pasando de estibadores a coordinadores de rutas ilícitas–, lo que genera jerarquías donde los químicos capacitados escalan por encima de los trabajadores manuales. Este ascenso social ilícito termina glamorizando el desvío: un operador de grúa gana $80 al mes en el puerto oficial, pero $1.200 con los carteles.</w:t>
      </w:r>
    </w:p>
    <w:p w:rsidR="00000000" w:rsidDel="00000000" w:rsidP="00000000" w:rsidRDefault="00000000" w:rsidRPr="00000000" w14:paraId="00000028">
      <w:pPr>
        <w:pageBreakBefore w:val="0"/>
        <w:widowControl w:val="0"/>
        <w:spacing w:after="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La dependencia económica es total: cerrar estas rutas ilícitas colapsaría economías portuarias enteras sin que existan alternativas reales, lo que explica la resistencia local a controles más estrictos. El mercado químico no solo evade las regulaciones –las sustituye económicamente, convirtiendo puertos enteros en feudos donde corporaciones criminales híbridas mandan más que cualquier gobierno.</w:t>
      </w:r>
      <w:r w:rsidDel="00000000" w:rsidR="00000000" w:rsidRPr="00000000">
        <w:rPr>
          <w:rtl w:val="0"/>
        </w:rPr>
      </w:r>
    </w:p>
    <w:p w:rsidR="00000000" w:rsidDel="00000000" w:rsidP="00000000" w:rsidRDefault="00000000" w:rsidRPr="00000000" w14:paraId="00000029">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Situación Actual</w:t>
      </w:r>
      <w:r w:rsidDel="00000000" w:rsidR="00000000" w:rsidRPr="00000000">
        <w:rPr>
          <w:rtl w:val="0"/>
        </w:rPr>
      </w:r>
    </w:p>
    <w:p w:rsidR="00000000" w:rsidDel="00000000" w:rsidP="00000000" w:rsidRDefault="00000000" w:rsidRPr="00000000" w14:paraId="0000002A">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Hoy en día, el mercado ilícito de precursores químicos alcanza proporciones alarmantes, con 70.000 toneladas desviadas anualmente hacia la producción masiva de fentanilo y metanfetaminas. México se consolida como epicentro, incautan 1.200 toneladas solo en 2025 mientras super labs del CJNG en Jalisco producen para exportación global.</w:t>
      </w:r>
    </w:p>
    <w:p w:rsidR="00000000" w:rsidDel="00000000" w:rsidP="00000000" w:rsidRDefault="00000000" w:rsidRPr="00000000" w14:paraId="0000002B">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 ha superado a China como principal proveedor de efedrina tras sanciones estadounidenses, exportando vía Bombay a puertos europeos como Rotterdam (40% del tráfico químico mundial) y Panamá. Estos hubs marítimos –Algeciras, Manzanillo, Tema– registran corrupción aduanera rampante, donde el 30% de contenedores químicos evade inspección real.</w:t>
      </w:r>
    </w:p>
    <w:p w:rsidR="00000000" w:rsidDel="00000000" w:rsidP="00000000" w:rsidRDefault="00000000" w:rsidRPr="00000000" w14:paraId="0000002C">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Países en desarrollo como Perú, Ghana y Ecuador acumulan incautaciones sin capacidad de destrucción segura, enfrentando costos de almacenamiento superiores a $50 millones anuales. Mientras tanto, regulaciones como REACH e INCB permanecen voluntarias, permitiendo que corporaciones químicas legítimas operen sin responsabilidad vinculante.</w:t>
      </w:r>
    </w:p>
    <w:p w:rsidR="00000000" w:rsidDel="00000000" w:rsidP="00000000" w:rsidRDefault="00000000" w:rsidRPr="00000000" w14:paraId="0000002D">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2026, el fentanilo mexicano causará alrededor de 100.000 muertes anuales en EE.UU., superando todas las demás drogas combinadas. La crisis económica en puertos clave genera resistencia local a controles estrictos, ya que el desvío representa hasta el 60% de ingresos informales en zonas como Manzanillo y Tema. Sin mecanismos multilaterales obligatorios, el problema se agrava mes a mes.</w:t>
      </w:r>
      <w:r w:rsidDel="00000000" w:rsidR="00000000" w:rsidRPr="00000000">
        <w:rPr>
          <w:rtl w:val="0"/>
        </w:rPr>
      </w:r>
    </w:p>
    <w:p w:rsidR="00000000" w:rsidDel="00000000" w:rsidP="00000000" w:rsidRDefault="00000000" w:rsidRPr="00000000" w14:paraId="0000002E">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02F">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Países y Organizaciones Involucradas</w:t>
      </w:r>
      <w:r w:rsidDel="00000000" w:rsidR="00000000" w:rsidRPr="00000000">
        <w:rPr>
          <w:rtl w:val="0"/>
        </w:rPr>
      </w:r>
    </w:p>
    <w:p w:rsidR="00000000" w:rsidDel="00000000" w:rsidP="00000000" w:rsidRDefault="00000000" w:rsidRPr="00000000" w14:paraId="00000030">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México</w:t>
      </w:r>
    </w:p>
    <w:p w:rsidR="00000000" w:rsidDel="00000000" w:rsidP="00000000" w:rsidRDefault="00000000" w:rsidRPr="00000000" w14:paraId="00000031">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México es el principal destino del 80% de precursores químicos ilegales que alimentan super laboratorios clandestinos de fentanilo y metanfetaminas (UNODC, 2025). Cárteles como Sinaloa y CJNG controlan puertos como Manzanillo y Mazatlán, donde contenedores "legítimos" de efedrina india y solventes alemanes se desvían sistemáticamente. En regiones marginadas como Guerrero y Sinaloa, estos carteles crean economías químicas paralelas que sustituyen al estado, reclutando jóvenes de bajos recursos con promesas de "éxito químico" (InSight Crime, 2024).</w:t>
      </w:r>
    </w:p>
    <w:p w:rsidR="00000000" w:rsidDel="00000000" w:rsidP="00000000" w:rsidRDefault="00000000" w:rsidRPr="00000000" w14:paraId="00000032">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034">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 lidera la exportación de efedrina y ácido fenilacético tras China, enviando toneladas mensuales a México desde puertos como Bombay (INCB, 2024). Su industria química masiva en Gujarat y Punjab genera empleos pero permite desvíos sistemáticos que glorifican la riqueza rápida entre comunidades industriales pobres. Multinacionales indias priorizan ganancias sobre trazabilidad, dejando a trabajadores vulnerables estigmatizados como parte del narco global (COPOLAD).</w:t>
      </w:r>
    </w:p>
    <w:p w:rsidR="00000000" w:rsidDel="00000000" w:rsidP="00000000" w:rsidRDefault="00000000" w:rsidRPr="00000000" w14:paraId="00000035">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Países Bajos</w:t>
      </w:r>
    </w:p>
    <w:p w:rsidR="00000000" w:rsidDel="00000000" w:rsidP="00000000" w:rsidRDefault="00000000" w:rsidRPr="00000000" w14:paraId="00000036">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Rotterdam maneja el 40% del comercio químico mundial, sirviendo de trampolín clave para precursores asiáticos hacia México (OEA/CICAD). Empresas holandesas enfrentan escándalos por exportaciones sin control real, creando tensión entre libre comercio europeo y responsabilidad global. Las comunidades portuarias sufren estigmatización como "puerta del narco químico".</w:t>
      </w:r>
    </w:p>
    <w:p w:rsidR="00000000" w:rsidDel="00000000" w:rsidP="00000000" w:rsidRDefault="00000000" w:rsidRPr="00000000" w14:paraId="00000037">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Panamá</w:t>
      </w:r>
    </w:p>
    <w:p w:rsidR="00000000" w:rsidDel="00000000" w:rsidP="00000000" w:rsidRDefault="00000000" w:rsidRPr="00000000" w14:paraId="00000038">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Canal de Panamá es ruta marítima esencial para precursores de India y Alemania hacia México, con decomisos récord en Manzanillo que exponen corrupción aduanera (TVN Panamá, 2025). La zona libre química atrae inversión legítima pero facilita desvíos, dejando a trabajadores portuarios atrapados entre narcotráfico como "empleo alternativo" y estado débil.</w:t>
      </w:r>
    </w:p>
    <w:p w:rsidR="00000000" w:rsidDel="00000000" w:rsidP="00000000" w:rsidRDefault="00000000" w:rsidRPr="00000000" w14:paraId="00000039">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España</w:t>
      </w:r>
    </w:p>
    <w:p w:rsidR="00000000" w:rsidDel="00000000" w:rsidP="00000000" w:rsidRDefault="00000000" w:rsidRPr="00000000" w14:paraId="0000003A">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Algeciras interconecta rutas Atlántico-Pacífico de precursores, mientras la industria química catalana presiona contra regulaciones REACH más estrictas (El País). En Andalucía, la logística narco ofrece trabajos a jóvenes marginados que el estado no genera, perpetuando exclusión social estructural. En 2025 registró un aumento del 45% en decomisos químicos, pero la corrupción aduanera sigue permitiendo que contenedores "legítimos" pasen sin inspección (El País, 2025).</w:t>
      </w:r>
    </w:p>
    <w:p w:rsidR="00000000" w:rsidDel="00000000" w:rsidP="00000000" w:rsidRDefault="00000000" w:rsidRPr="00000000" w14:paraId="0000003B">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Alemania</w:t>
      </w:r>
    </w:p>
    <w:p w:rsidR="00000000" w:rsidDel="00000000" w:rsidP="00000000" w:rsidRDefault="00000000" w:rsidRPr="00000000" w14:paraId="0000003C">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Hamburgo y Bremerhaven transbordan solventes desde Asia hacia México, con BASF implicada en exportaciones masivas sin inspección rigurosa (INCB). Alemania protege su industria química pero permite desvíos que financian violencia, estigmatizando comunidades inmigrantes portuarias.</w:t>
      </w:r>
    </w:p>
    <w:p w:rsidR="00000000" w:rsidDel="00000000" w:rsidP="00000000" w:rsidRDefault="00000000" w:rsidRPr="00000000" w14:paraId="0000003D">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Ghana</w:t>
      </w:r>
    </w:p>
    <w:p w:rsidR="00000000" w:rsidDel="00000000" w:rsidP="00000000" w:rsidRDefault="00000000" w:rsidRPr="00000000" w14:paraId="0000003E">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Puerto Tema emerge como hub africano de precursores indios hacia Europa y México, donde la corrupción aduanera desplaza control estatal (UNODC). Jóvenes desempleados se incorporan a logística química ilícita como economía paralela en regiones pobres.</w:t>
      </w:r>
    </w:p>
    <w:p w:rsidR="00000000" w:rsidDel="00000000" w:rsidP="00000000" w:rsidRDefault="00000000" w:rsidRPr="00000000" w14:paraId="0000003F">
      <w:pPr>
        <w:pageBreakBefore w:val="0"/>
        <w:widowControl w:val="0"/>
        <w:spacing w:after="20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Cártel Jalisco Nueva Generación (México)</w:t>
      </w:r>
    </w:p>
    <w:p w:rsidR="00000000" w:rsidDel="00000000" w:rsidP="00000000" w:rsidRDefault="00000000" w:rsidRPr="00000000" w14:paraId="00000040">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CJNG domina la transformación química a gran escala, controlando Manzanillo para importar precursores y exportar sintéticas globalmente. Recluta en comunidades de Jalisco ofreciendo estatus químico, creando jerarquías donde técnicos escalan sobre poblaciones marginadas, normalizando violencia industrial (Infobae, 2024).</w:t>
      </w:r>
    </w:p>
    <w:p w:rsidR="00000000" w:rsidDel="00000000" w:rsidP="00000000" w:rsidRDefault="00000000" w:rsidRPr="00000000" w14:paraId="00000041">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2">
      <w:pPr>
        <w:pageBreakBefore w:val="0"/>
        <w:widowControl w:val="0"/>
        <w:spacing w:after="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Cronología de Eventos Importantes </w:t>
      </w:r>
      <w:r w:rsidDel="00000000" w:rsidR="00000000" w:rsidRPr="00000000">
        <w:rPr>
          <w:rtl w:val="0"/>
        </w:rPr>
      </w:r>
    </w:p>
    <w:tbl>
      <w:tblPr>
        <w:tblStyle w:val="Table1"/>
        <w:tblW w:w="10335.0" w:type="dxa"/>
        <w:jc w:val="left"/>
        <w:tblInd w:w="-40.0" w:type="dxa"/>
        <w:tblLayout w:type="fixed"/>
        <w:tblLook w:val="0000"/>
      </w:tblPr>
      <w:tblGrid>
        <w:gridCol w:w="2295"/>
        <w:gridCol w:w="8040"/>
        <w:tblGridChange w:id="0">
          <w:tblGrid>
            <w:gridCol w:w="2295"/>
            <w:gridCol w:w="8040"/>
          </w:tblGrid>
        </w:tblGridChange>
      </w:tblGrid>
      <w:tr>
        <w:trPr>
          <w:cantSplit w:val="0"/>
          <w:tblHeader w:val="0"/>
        </w:trPr>
        <w:tc>
          <w:tcPr>
            <w:vAlign w:val="center"/>
          </w:tcPr>
          <w:p w:rsidR="00000000" w:rsidDel="00000000" w:rsidP="00000000" w:rsidRDefault="00000000" w:rsidRPr="00000000" w14:paraId="00000043">
            <w:pPr>
              <w:pageBreakBefore w:val="0"/>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Fecha </w:t>
            </w:r>
          </w:p>
        </w:tc>
        <w:tc>
          <w:tcPr>
            <w:vAlign w:val="center"/>
          </w:tcPr>
          <w:p w:rsidR="00000000" w:rsidDel="00000000" w:rsidP="00000000" w:rsidRDefault="00000000" w:rsidRPr="00000000" w14:paraId="00000044">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Descripción del Evento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2005</w:t>
            </w:r>
          </w:p>
          <w:p w:rsidR="00000000" w:rsidDel="00000000" w:rsidP="00000000" w:rsidRDefault="00000000" w:rsidRPr="00000000" w14:paraId="00000047">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9">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p w:rsidR="00000000" w:rsidDel="00000000" w:rsidP="00000000" w:rsidRDefault="00000000" w:rsidRPr="00000000" w14:paraId="0000004A">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p>
          <w:p w:rsidR="00000000" w:rsidDel="00000000" w:rsidP="00000000" w:rsidRDefault="00000000" w:rsidRPr="00000000" w14:paraId="0000004D">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p w:rsidR="00000000" w:rsidDel="00000000" w:rsidP="00000000" w:rsidRDefault="00000000" w:rsidRPr="00000000" w14:paraId="00000050">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p w:rsidR="00000000" w:rsidDel="00000000" w:rsidP="00000000" w:rsidRDefault="00000000" w:rsidRPr="00000000" w14:paraId="00000053">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5">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p w:rsidR="00000000" w:rsidDel="00000000" w:rsidP="00000000" w:rsidRDefault="00000000" w:rsidRPr="00000000" w14:paraId="00000056">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7">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p w:rsidR="00000000" w:rsidDel="00000000" w:rsidP="00000000" w:rsidRDefault="00000000" w:rsidRPr="00000000" w14:paraId="00000059">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c>
          <w:tcPr>
            <w:vAlign w:val="center"/>
          </w:tcPr>
          <w:p w:rsidR="00000000" w:rsidDel="00000000" w:rsidP="00000000" w:rsidRDefault="00000000" w:rsidRPr="00000000" w14:paraId="0000005C">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D">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Panamá aprueba Ley 19 para control de precursores químicos, primera legislación regional sería (Gaceta Oficial).</w:t>
            </w:r>
          </w:p>
          <w:p w:rsidR="00000000" w:rsidDel="00000000" w:rsidP="00000000" w:rsidRDefault="00000000" w:rsidRPr="00000000" w14:paraId="0000005E">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F">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restringe NPP/4-ANPP; India absorbe 70% del mercado efedrina global (INCB).</w:t>
            </w:r>
          </w:p>
          <w:p w:rsidR="00000000" w:rsidDel="00000000" w:rsidP="00000000" w:rsidRDefault="00000000" w:rsidRPr="00000000" w14:paraId="00000060">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Rotterdam registra +300% tránsito precursores sintéticos México-Europa (OEA/CICAD).</w:t>
            </w:r>
          </w:p>
          <w:p w:rsidR="00000000" w:rsidDel="00000000" w:rsidP="00000000" w:rsidRDefault="00000000" w:rsidRPr="00000000" w14:paraId="00000062">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3">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COVID colapsa controles aduaneros; desvíos vía Panamá/Algeciras crecen 150% (UNODC).</w:t>
            </w:r>
          </w:p>
          <w:p w:rsidR="00000000" w:rsidDel="00000000" w:rsidP="00000000" w:rsidRDefault="00000000" w:rsidRPr="00000000" w14:paraId="00000064">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Operación Global Insight decomisa 500 toneladas pero solo 12% destruidas efectivamente.</w:t>
            </w:r>
          </w:p>
          <w:p w:rsidR="00000000" w:rsidDel="00000000" w:rsidP="00000000" w:rsidRDefault="00000000" w:rsidRPr="00000000" w14:paraId="00000066">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7">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CJNG consolida control químico Manzanillo; Ghana emerge como hub africano (Infobae).</w:t>
            </w:r>
          </w:p>
          <w:p w:rsidR="00000000" w:rsidDel="00000000" w:rsidP="00000000" w:rsidRDefault="00000000" w:rsidRPr="00000000" w14:paraId="00000068">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EE.UU. sanciona 50 empresas indias; UNODC reporta 70K toneladas desviadas anuales.</w:t>
            </w:r>
          </w:p>
          <w:p w:rsidR="00000000" w:rsidDel="00000000" w:rsidP="00000000" w:rsidRDefault="00000000" w:rsidRPr="00000000" w14:paraId="0000006A">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pageBreakBefore w:val="0"/>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Panamá actualiza listas CONAPRED; México incauta 70 toneladas en 2 meses (SEMAR).</w:t>
            </w:r>
          </w:p>
          <w:p w:rsidR="00000000" w:rsidDel="00000000" w:rsidP="00000000" w:rsidRDefault="00000000" w:rsidRPr="00000000" w14:paraId="0000006C">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D">
            <w:pPr>
              <w:pageBreakBefore w:val="0"/>
              <w:widowControl w:val="0"/>
              <w:spacing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6E">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Participación de la ONU, Resoluciones, Tratados y Eventos Relevantes</w:t>
      </w:r>
    </w:p>
    <w:p w:rsidR="00000000" w:rsidDel="00000000" w:rsidP="00000000" w:rsidRDefault="00000000" w:rsidRPr="00000000" w14:paraId="0000006F">
      <w:pPr>
        <w:widowControl w:val="0"/>
        <w:spacing w:after="120" w:line="39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 Convención de las Naciones Unidas contra el Tráfico Ilícito de Estupefacientes y Sustancias Sicotrópicas de 1988</w:t>
      </w:r>
      <w:r w:rsidDel="00000000" w:rsidR="00000000" w:rsidRPr="00000000">
        <w:rPr>
          <w:rFonts w:ascii="Century Gothic" w:cs="Century Gothic" w:eastAsia="Century Gothic" w:hAnsi="Century Gothic"/>
          <w:rtl w:val="0"/>
        </w:rPr>
        <w:br w:type="textWrapping"/>
        <w:t xml:space="preserve">El tratado de 1988 es el marco internacional más importante para combatir el tráfico ilícito de drogas y, en particular, el desvío de precursores químicos. Su objetivo fue fortalecer la cooperación entre Estados para prevenir la fabricación ilícita de estupefacientes y sustancias psicotrópicas, regulando el comercio, transporte, exportación e importación de sustancias químicas que pueden ser utilizadas para producir drogas sintéticas. Dentro de este tratado, el artículo 12 es especialmente relevante porque obliga a los Estados a vigilar y controlar sustancias químicas frecuentemente usadas en la producción ilícita de drogas, como la efedrina, la pseudoefedrina y el ácido fenilacético. Asimismo, el convenio impulsa a los gobiernos a intercambiar información, reforzar controles aduaneros y adoptar medidas legislativas para evitar que empresas o intermediarios desvíen sustancias de uso legítimo hacia mercados ilegales. Este tratado sigue siendo la base jurídica principal sobre la cual se construyen muchos de los esfuerzos internacionales actuales contra los precursores químicos.</w:t>
      </w:r>
    </w:p>
    <w:p w:rsidR="00000000" w:rsidDel="00000000" w:rsidP="00000000" w:rsidRDefault="00000000" w:rsidRPr="00000000" w14:paraId="00000070">
      <w:pPr>
        <w:widowControl w:val="0"/>
        <w:spacing w:after="120" w:before="240" w:line="39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 Junta Internacional de Fiscalización de Estupefacientes (JIFE)</w:t>
      </w:r>
      <w:r w:rsidDel="00000000" w:rsidR="00000000" w:rsidRPr="00000000">
        <w:rPr>
          <w:rFonts w:ascii="Century Gothic" w:cs="Century Gothic" w:eastAsia="Century Gothic" w:hAnsi="Century Gothic"/>
          <w:rtl w:val="0"/>
        </w:rPr>
        <w:br w:type="textWrapping"/>
        <w:t xml:space="preserve">La JIFE es el organismo encargado de supervisar la aplicación de los tratados internacionales sobre drogas y sustancias químicas controladas. En el caso de los precursores químicos, su función es monitorear el comercio internacional, detectar nuevas tendencias de desvío y alertar a los Estados sobre sustancias emergentes que puedan estar siendo utilizadas en la producción ilícita de drogas sintéticas. Además, la JIFE publica informes anuales que evalúan los cambios en las rutas de tráfico, los métodos de desvío y las nuevas amenazas que surgen en el mercado internacional. Su trabajo es clave porque permite identificar vacíos en la regulación y promover una respuesta coordinada entre países productores, de tránsito y de destino. Aunque no tiene poder coercitivo directo sobre las corporaciones, sí ejerce una fuerte presión técnica y diplomática sobre los Estados para mejorar sus mecanismos de control.</w:t>
      </w:r>
    </w:p>
    <w:p w:rsidR="00000000" w:rsidDel="00000000" w:rsidP="00000000" w:rsidRDefault="00000000" w:rsidRPr="00000000" w14:paraId="00000071">
      <w:pPr>
        <w:widowControl w:val="0"/>
        <w:spacing w:after="120" w:before="240" w:line="39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Las resoluciones y mecanismos de la ONU sobre drogas y precursores</w:t>
      </w:r>
      <w:r w:rsidDel="00000000" w:rsidR="00000000" w:rsidRPr="00000000">
        <w:rPr>
          <w:rFonts w:ascii="Century Gothic" w:cs="Century Gothic" w:eastAsia="Century Gothic" w:hAnsi="Century Gothic"/>
          <w:rtl w:val="0"/>
        </w:rPr>
        <w:br w:type="textWrapping"/>
        <w:t xml:space="preserve">A lo largo de los años, la Asamblea General y la Comisión de Estupefacientes han aprobado resoluciones que reiteran la necesidad de combatir el tráfico ilícito de drogas desde una perspectiva multilateral. Estas resoluciones suelen enfocarse en fortalecer el control de sustancias químicas, mejorar el intercambio de información entre Estados y adaptar las estrategias internacionales a nuevas formas de producción ilícita. En años recientes, también se ha puesto más atención en la responsabilidad compartida de los Estados frente al comercio químico internacional y en la necesidad de evitar que las cadenas de suministro legítimas sean utilizadas por el crimen organizado. Estas medidas reflejan que el problema ya no se limita a las drogas como producto final, sino que también incluye los insumos químicos que hacen posible su fabricación. Por eso, la agenda de la ONU ha evolucionado hacia una visión más preventiva y técnica del narcotráfico.</w:t>
      </w:r>
    </w:p>
    <w:p w:rsidR="00000000" w:rsidDel="00000000" w:rsidP="00000000" w:rsidRDefault="00000000" w:rsidRPr="00000000" w14:paraId="00000072">
      <w:pPr>
        <w:widowControl w:val="0"/>
        <w:spacing w:before="240" w:line="39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 estrategia regional de la ONU y UNODC para América Latina y el Caribe</w:t>
      </w:r>
      <w:r w:rsidDel="00000000" w:rsidR="00000000" w:rsidRPr="00000000">
        <w:rPr>
          <w:rFonts w:ascii="Century Gothic" w:cs="Century Gothic" w:eastAsia="Century Gothic" w:hAnsi="Century Gothic"/>
          <w:rtl w:val="0"/>
        </w:rPr>
        <w:br w:type="textWrapping"/>
        <w:t xml:space="preserve">En la última década, la ONU y la Oficina de las Naciones Unidas contra la Droga y el Delito han impulsado estrategias específicas para América Latina y el Caribe, reconociendo que la región enfrenta desafíos particulares relacionados con la corrupción, el tráfico transnacional y la debilidad institucional. Dentro de estos esfuerzos, se han promovido programas anticorrupción, fortalecimiento institucional y cooperación regional entre autoridades judiciales, aduaneras y policiales. También se han impulsado iniciativas para mejorar la prevención, la sensibilización y la capacitación de funcionarios sobre el control de sustancias químicas y el desvío de precursores. Estas estrategias buscan cerrar las brechas entre los marcos legales existentes y su aplicación real en terreno, especialmente en puertos, fronteras y centros logísticos. Sin embargo, también muestran que la solución no depende solo de tratados, sino de capacidad estatal, voluntad política y cooperación internacional sostenida.</w:t>
      </w:r>
      <w:r w:rsidDel="00000000" w:rsidR="00000000" w:rsidRPr="00000000">
        <w:rPr>
          <w:rtl w:val="0"/>
        </w:rPr>
      </w:r>
    </w:p>
    <w:p w:rsidR="00000000" w:rsidDel="00000000" w:rsidP="00000000" w:rsidRDefault="00000000" w:rsidRPr="00000000" w14:paraId="00000073">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Previos Intentos para Resolver el Problema</w:t>
      </w:r>
    </w:p>
    <w:p w:rsidR="00000000" w:rsidDel="00000000" w:rsidP="00000000" w:rsidRDefault="00000000" w:rsidRPr="00000000" w14:paraId="00000075">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 Convención de las Naciones Unidas contra el Tráfico Ilícito de Estupefacientes y Sustancias Sicotrópicas de 1988</w:t>
        <w:br w:type="textWrapping"/>
      </w:r>
      <w:r w:rsidDel="00000000" w:rsidR="00000000" w:rsidRPr="00000000">
        <w:rPr>
          <w:rFonts w:ascii="Century Gothic" w:cs="Century Gothic" w:eastAsia="Century Gothic" w:hAnsi="Century Gothic"/>
          <w:rtl w:val="0"/>
        </w:rPr>
        <w:t xml:space="preserve">Uno de los primeros esfuerzos importantes para enfrentar el problema de los precursores químicos fue la Convención de 1988, que estableció una base legal internacional para controlar las sustancias químicas utilizadas en la fabricación ilícita de drogas. Este tratado buscó reforzar la cooperación entre Estados, mejorar la fiscalización del comercio químico y reducir el desvío de sustancias como la efedrina, la pseudoefedrina y el ácido fenilacético. Su principal aporte fue reconocer que el narcotráfico no solo depende de la distribución de drogas terminadas, sino también de la disponibilidad de insumos químicos. Sin embargo, aunque representó un avance significativo, su aplicación ha sido desigual, ya que muchos Estados carecen de capacidad técnica, recursos o voluntad política para implementarlo de manera estricta. Por ello, su impacto ha sido importante en el plano normativo, pero limitado en la práctica.</w:t>
      </w:r>
    </w:p>
    <w:p w:rsidR="00000000" w:rsidDel="00000000" w:rsidP="00000000" w:rsidRDefault="00000000" w:rsidRPr="00000000" w14:paraId="00000076">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 Junta Internacional de Fiscalización de Estupefacientes (JIFE)</w:t>
      </w:r>
      <w:r w:rsidDel="00000000" w:rsidR="00000000" w:rsidRPr="00000000">
        <w:rPr>
          <w:rFonts w:ascii="Century Gothic" w:cs="Century Gothic" w:eastAsia="Century Gothic" w:hAnsi="Century Gothic"/>
          <w:rtl w:val="0"/>
        </w:rPr>
        <w:br w:type="textWrapping"/>
        <w:t xml:space="preserve">La JIFE ha sido otro intento central para enfrentar el desvío de precursores químicos, al supervisar el comercio internacional y emitir advertencias sobre nuevas rutas, sustancias y métodos utilizados por redes criminales. Sus informes han ayudado a identificar tendencias emergentes, como el uso de sustancias de diseño y la diversificación de cadenas de suministro ilegales. Gracias a su labor, varios Estados han podido reforzar sus mecanismos de vigilancia y mejorar el intercambio de información. No obstante, la JIFE no posee poder coercitivo directo sobre empresas multinacionales ni capacidad para obligar a los Estados a cumplir plenamente con sus recomendaciones. Por eso, su papel ha sido principalmente técnico y preventivo, pero insuficiente para frenar por completo el problema.</w:t>
      </w:r>
    </w:p>
    <w:p w:rsidR="00000000" w:rsidDel="00000000" w:rsidP="00000000" w:rsidRDefault="00000000" w:rsidRPr="00000000" w14:paraId="00000077">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REACH y otros marcos regulatorios europeos</w:t>
      </w:r>
      <w:r w:rsidDel="00000000" w:rsidR="00000000" w:rsidRPr="00000000">
        <w:rPr>
          <w:rFonts w:ascii="Century Gothic" w:cs="Century Gothic" w:eastAsia="Century Gothic" w:hAnsi="Century Gothic"/>
          <w:rtl w:val="0"/>
        </w:rPr>
        <w:br w:type="textWrapping"/>
        <w:t xml:space="preserve">La Unión Europea también ha intentado abordar el problema mediante regulaciones como REACH, que establecen controles sobre sustancias químicas dentro del mercado europeo. Este tipo de mecanismos ha sido útil para mejorar la trazabilidad y aumentar el nivel de supervisión sobre ciertos productos peligrosos. Sin embargo, muchas de estas normas se concentran en el comercio interno o en la exportación formal, sin resolver por completo el desvío hacia mercados ilícitos fuera de Europa. En la práctica, empresas y distribuidores pueden seguir participando en cadenas de suministro poco transparentes cuando las sustancias salen del territorio regulado. Por ello, aunque representan un avance importante, estas normas no han sido suficientes para garantizar una responsabilidad corporativa realmente vinculante.</w:t>
      </w:r>
    </w:p>
    <w:p w:rsidR="00000000" w:rsidDel="00000000" w:rsidP="00000000" w:rsidRDefault="00000000" w:rsidRPr="00000000" w14:paraId="00000078">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EL PAcCTO y EL PAcCTO 2.0</w:t>
      </w:r>
      <w:r w:rsidDel="00000000" w:rsidR="00000000" w:rsidRPr="00000000">
        <w:rPr>
          <w:rFonts w:ascii="Century Gothic" w:cs="Century Gothic" w:eastAsia="Century Gothic" w:hAnsi="Century Gothic"/>
          <w:rtl w:val="0"/>
        </w:rPr>
        <w:br w:type="textWrapping"/>
        <w:t xml:space="preserve">En América Latina y Europa, programas como EL PAcCTO han buscado fortalecer la cooperación judicial, policial y penitenciaria frente al crimen organizado transnacional. Su enfoque ha contribuido al desarrollo institucional, la capacitación técnica y la coordinación entre países afectados por el narcotráfico y sus redes asociadas. EL PAcCTO 2.0 amplió esta cooperación, incorporando más países y reforzando el trabajo conjunto en materia judicial, policial y penitenciaria. Aun así, su alcance sigue siendo principalmente institucional, por lo que no aborda de forma directa las causas económicas y sociales que permiten el desvío de precursores. En consecuencia, ha sido un esfuerzo valioso para mejorar la respuesta estatal, pero todavía no resuelve el problema estructural de fondo.</w:t>
      </w:r>
    </w:p>
    <w:p w:rsidR="00000000" w:rsidDel="00000000" w:rsidP="00000000" w:rsidRDefault="00000000" w:rsidRPr="00000000" w14:paraId="00000079">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Las estrategias de la OEA/CICAD</w:t>
      </w:r>
      <w:r w:rsidDel="00000000" w:rsidR="00000000" w:rsidRPr="00000000">
        <w:rPr>
          <w:rFonts w:ascii="Century Gothic" w:cs="Century Gothic" w:eastAsia="Century Gothic" w:hAnsi="Century Gothic"/>
          <w:rtl w:val="0"/>
        </w:rPr>
        <w:br w:type="textWrapping"/>
        <w:t xml:space="preserve">La OEA/CICAD ha promovido alternativas al encarcelamiento y programas de prevención, tratamiento y rehabilitación vinculados a delitos de drogas. Estas medidas buscan reducir la exclusión social y evitar que personas, especialmente jóvenes y consumidores no violentos, queden atrapadas en ciclos de estigmatización y prisión. En algunos países de la región, como Brasil y Colombia, se han observado resultados positivos en la reducción de la población penitenciaria y en la reintegración social. Sin embargo, este enfoque se centra más en el tratamiento social del consumo y la criminalidad menor que en el control directo del mercado ilegal de precursores químicos. Por eso, aunque ha sido efectivo en ciertos aspectos, no constituye por sí solo una solución completa al problema que enfrenta esta comisión.</w:t>
      </w:r>
    </w:p>
    <w:p w:rsidR="00000000" w:rsidDel="00000000" w:rsidP="00000000" w:rsidRDefault="00000000" w:rsidRPr="00000000" w14:paraId="0000007A">
      <w:pPr>
        <w:widowControl w:val="0"/>
        <w:spacing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Evaluación general</w:t>
      </w:r>
      <w:r w:rsidDel="00000000" w:rsidR="00000000" w:rsidRPr="00000000">
        <w:rPr>
          <w:rFonts w:ascii="Century Gothic" w:cs="Century Gothic" w:eastAsia="Century Gothic" w:hAnsi="Century Gothic"/>
          <w:rtl w:val="0"/>
        </w:rPr>
        <w:br w:type="textWrapping"/>
        <w:t xml:space="preserve">Los intentos previos han logrado crear marcos jurídicos, mecanismos de cooperación y programas de asistencia técnica, pero ninguno ha conseguido resolver de manera integral el desvío de precursores químicos. El principal obstáculo sigue siendo la falta de cumplimiento uniforme, la debilidad institucional en varios Estados y la ausencia de responsabilidad vinculante para las corporaciones multinacionales. En otras palabras, los esfuerzos existentes han sido útiles para contener parcialmente el problema, pero no para eliminarlo. Por eso, la solución futura debe combinar regulación internacional, cooperación efectiva y medidas que ataquen tanto las cadenas de suministro como sus causas estructurales.</w:t>
      </w:r>
      <w:r w:rsidDel="00000000" w:rsidR="00000000" w:rsidRPr="00000000">
        <w:rPr>
          <w:rtl w:val="0"/>
        </w:rPr>
      </w:r>
    </w:p>
    <w:p w:rsidR="00000000" w:rsidDel="00000000" w:rsidP="00000000" w:rsidRDefault="00000000" w:rsidRPr="00000000" w14:paraId="0000007B">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C">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Posibles Soluciones</w:t>
      </w:r>
    </w:p>
    <w:p w:rsidR="00000000" w:rsidDel="00000000" w:rsidP="00000000" w:rsidRDefault="00000000" w:rsidRPr="00000000" w14:paraId="0000007D">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Programas de Transferencia Monetaria (PTM)</w:t>
      </w:r>
      <w:r w:rsidDel="00000000" w:rsidR="00000000" w:rsidRPr="00000000">
        <w:rPr>
          <w:rFonts w:ascii="Century Gothic" w:cs="Century Gothic" w:eastAsia="Century Gothic" w:hAnsi="Century Gothic"/>
          <w:rtl w:val="0"/>
        </w:rPr>
        <w:br w:type="textWrapping"/>
        <w:t xml:space="preserve">Una posible solución frente al problema del desvío de precursores químicos y la responsabilidad de las corporaciones multinacionales sería la implementación de Programas de Transferencia Monetaria (PTM). Estos programas consisten en brindar apoyo económico directo, ya sea en efectivo o mediante cupones, a personas y familias que se encuentran en situación de vulnerabilidad. El dinero en efectivo ofrece mayor flexibilidad, ya que puede utilizarse para cubrir distintas necesidades básicas, mientras que los cupones funcionan como una ayuda condicionada que solo puede canjearse por productos o servicios específicos. Al aliviar la presión económica sobre los hogares más afectados, los PTM pueden reducir la necesidad de recurrir a actividades ilícitas como el desvío, el contrabando o el apoyo indirecto a redes criminales. Además, este tipo de asistencia contribuye a disminuir la exclusión social al ofrecer a las comunidades una alternativa real de estabilidad y movilidad económica.</w:t>
      </w:r>
    </w:p>
    <w:p w:rsidR="00000000" w:rsidDel="00000000" w:rsidP="00000000" w:rsidRDefault="00000000" w:rsidRPr="00000000" w14:paraId="0000007E">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Desarrollo alternativo</w:t>
      </w:r>
      <w:r w:rsidDel="00000000" w:rsidR="00000000" w:rsidRPr="00000000">
        <w:rPr>
          <w:rFonts w:ascii="Century Gothic" w:cs="Century Gothic" w:eastAsia="Century Gothic" w:hAnsi="Century Gothic"/>
          <w:rtl w:val="0"/>
        </w:rPr>
        <w:br w:type="textWrapping"/>
        <w:t xml:space="preserve">Otra respuesta importante es el desarrollo alternativo, una estrategia promovida por las Naciones Unidas para reducir la dependencia de economías ilícitas. Esta medida busca reemplazar las actividades vinculadas al crimen por fuentes legales y sostenibles de ingreso, tomando en cuenta las condiciones sociales, económicas y geográficas de cada región. A diferencia de una simple sustitución de cultivos o actividades, el desarrollo alternativo incluye educación, infraestructura, salud, empleo y participación comunitaria. Su objetivo es ofrecer a las familias y comunidades una forma viable de integrarse a la economía formal, en lugar de depender de redes criminales o del desvío de sustancias químicas. De esta manera, no solo se combate el problema desde lo económico, sino también desde sus causas estructurales, como la pobreza, el abandono estatal y la falta de oportunidades.</w:t>
      </w:r>
    </w:p>
    <w:p w:rsidR="00000000" w:rsidDel="00000000" w:rsidP="00000000" w:rsidRDefault="00000000" w:rsidRPr="00000000" w14:paraId="0000007F">
      <w:pPr>
        <w:widowControl w:val="0"/>
        <w:spacing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Reducción de daños y enfoque en salud pública</w:t>
      </w:r>
      <w:r w:rsidDel="00000000" w:rsidR="00000000" w:rsidRPr="00000000">
        <w:rPr>
          <w:rFonts w:ascii="Century Gothic" w:cs="Century Gothic" w:eastAsia="Century Gothic" w:hAnsi="Century Gothic"/>
          <w:rtl w:val="0"/>
        </w:rPr>
        <w:br w:type="textWrapping"/>
        <w:t xml:space="preserve">Finalmente, una tercera solución es adoptar un enfoque de reducción de daños y salud pública. Este modelo busca disminuir los efectos negativos asociados al consumo de drogas sin centrarse exclusivamente en la criminalización. En lugar de exigir una abstinencia inmediata, promueve medidas de prevención, educación, tratamiento y rehabilitación que reduzcan riesgos como sobredosis, enfermedades y exclusión social. También ayuda a disminuir el estigma que enfrentan las personas afectadas por el consumo, facilitando su reintegración a la vida social y laboral. Aunque este enfoque se relaciona más directamente con el consumo que con el mercado de precursores químicos, resulta importante porque forma parte de una respuesta más amplia al fenómeno de las drogas. En conjunto, estas medidas pueden contribuir a debilitar la demanda que sostiene todo el sistema ilícito.</w:t>
      </w:r>
    </w:p>
    <w:p w:rsidR="00000000" w:rsidDel="00000000" w:rsidP="00000000" w:rsidRDefault="00000000" w:rsidRPr="00000000" w14:paraId="00000080">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Objetivos de Desarrollo Sostenible (Sustainable Development Goals)</w:t>
      </w:r>
    </w:p>
    <w:p w:rsidR="00000000" w:rsidDel="00000000" w:rsidP="00000000" w:rsidRDefault="00000000" w:rsidRPr="00000000" w14:paraId="00000082">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ODS 1: Fin de la pobreza</w:t>
        <w:br w:type="textWrapping"/>
        <w:t xml:space="preserve">El Objetivo de Desarrollo Sostenible número 1 busca erradicar la pobreza en todas sus formas y en todos los lugares, reconociendo que la pobreza no solo es una condición económica, sino también un factor que incrementa la vulnerabilidad social. En el contexto del mercado ilegal de precursores químicos, la pobreza se relaciona directamente con el reclutamiento de personas en actividades ilícitas, especialmente en comunidades donde faltan empleos formales, educación de calidad y servicios básicos. Cuando las familias tienen acceso a ingresos estables y oportunidades legítimas de desarrollo, disminuye su dependencia de economías criminales que ofrecen ganancias rápidas pero altamente destructivas. La UNODC ha señalado que la pobreza y la marginación aumentan la vulnerabilidad de jóvenes y comunidades enteras frente al consumo de drogas, la violencia y otras formas de delincuencia asociada. Por eso, combatir la pobreza no solo es una meta social, sino también una estrategia preventiva frente al narcotráfico y al desvío de sustancias químicas.</w:t>
      </w:r>
    </w:p>
    <w:p w:rsidR="00000000" w:rsidDel="00000000" w:rsidP="00000000" w:rsidRDefault="00000000" w:rsidRPr="00000000" w14:paraId="00000083">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ODS 10: Reducción de las desigualdades</w:t>
        <w:br w:type="textWrapping"/>
        <w:t xml:space="preserve">El Objetivo de Desarrollo Sostenible número 10 busca reducir las desigualdades dentro de los países y entre ellos, promoviendo una distribución más justa de oportunidades, ingresos y servicios. Este objetivo es clave para entender el problema de los precursores químicos, porque el desvío y el tráfico ilícito suelen concentrarse en territorios donde la desigualdad es más fuerte y la presencia del Estado es más débil. Cuando comunidades enteras quedan excluidas de la educación, el empleo y la protección institucional, se vuelven más vulnerables a ser utilizadas por redes criminales y por cadenas de suministro ilícitas. Estudios del Banco Mundial han mostrado que menor desigualdad se asocia con menos criminalidad, lo que refuerza la idea de que la exclusión social es un factor estructural en la expansión del delito. Asimismo, el World Inequality Report evidencia que la concentración de riqueza e ingreso a nivel global sigue siendo extrema, lo que ayuda a explicar por qué ciertas regiones terminan cargando con los costos sociales del crimen transnacional. Por ello, avanzar en el ODS 10 es fundamental para reducir la base social y económica que permite la expansión del mercado ilegal de precursores químicos.</w:t>
      </w:r>
    </w:p>
    <w:p w:rsidR="00000000" w:rsidDel="00000000" w:rsidP="00000000" w:rsidRDefault="00000000" w:rsidRPr="00000000" w14:paraId="00000084">
      <w:pPr>
        <w:pStyle w:val="Heading2"/>
        <w:keepNext w:val="0"/>
        <w:keepLines w:val="0"/>
        <w:widowControl w:val="0"/>
        <w:spacing w:after="80" w:line="300" w:lineRule="auto"/>
        <w:jc w:val="both"/>
        <w:rPr>
          <w:rFonts w:ascii="Century Gothic" w:cs="Century Gothic" w:eastAsia="Century Gothic" w:hAnsi="Century Gothic"/>
          <w:b w:val="1"/>
          <w:bCs w:val="1"/>
          <w:color w:val="0000ff"/>
          <w:sz w:val="22"/>
          <w:szCs w:val="22"/>
        </w:rPr>
      </w:pPr>
      <w:bookmarkStart w:colFirst="0" w:colLast="0" w:name="_llkqta2mrzv1" w:id="3"/>
      <w:bookmarkEnd w:id="3"/>
      <w:r w:rsidDel="00000000" w:rsidR="00000000" w:rsidRPr="00000000">
        <w:rPr>
          <w:rFonts w:ascii="Century Gothic" w:cs="Century Gothic" w:eastAsia="Century Gothic" w:hAnsi="Century Gothic"/>
          <w:b w:val="1"/>
          <w:bCs w:val="1"/>
          <w:color w:val="0000ff"/>
          <w:sz w:val="22"/>
          <w:szCs w:val="22"/>
          <w:rtl w:val="0"/>
        </w:rPr>
        <w:t xml:space="preserve">Apéndice</w:t>
      </w:r>
    </w:p>
    <w:p w:rsidR="00000000" w:rsidDel="00000000" w:rsidP="00000000" w:rsidRDefault="00000000" w:rsidRPr="00000000" w14:paraId="00000085">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apéndice es una sección adicional del </w:t>
      </w:r>
      <w:r w:rsidDel="00000000" w:rsidR="00000000" w:rsidRPr="00000000">
        <w:rPr>
          <w:rFonts w:ascii="Century Gothic" w:cs="Century Gothic" w:eastAsia="Century Gothic" w:hAnsi="Century Gothic"/>
          <w:i w:val="1"/>
          <w:iCs w:val="1"/>
          <w:rtl w:val="0"/>
        </w:rPr>
        <w:t xml:space="preserve">issue bulletin</w:t>
      </w:r>
      <w:r w:rsidDel="00000000" w:rsidR="00000000" w:rsidRPr="00000000">
        <w:rPr>
          <w:rFonts w:ascii="Century Gothic" w:cs="Century Gothic" w:eastAsia="Century Gothic" w:hAnsi="Century Gothic"/>
          <w:rtl w:val="0"/>
        </w:rPr>
        <w:t xml:space="preserve"> que contiene información de apoyo útil para comprender el tema con mayor profundidad. Generalmente incluye estadísticas, documentos de referencia, gráficos, informes, tratados o ejemplos que pueden ayudar a los delegados a preparar mejor su investigación, redactar sus posiciones y entender la complejidad del problema. En un tema como este, el apéndice puede ser especialmente valioso para incluir datos sobre incautaciones, rutas de desvío, indicadores de desigualdad o informes internacionales sobre precursores químicos. También permite reunir fuentes confiables que sirvan como respaldo para los argumentos durante el trabajo de comité.</w:t>
      </w:r>
    </w:p>
    <w:p w:rsidR="00000000" w:rsidDel="00000000" w:rsidP="00000000" w:rsidRDefault="00000000" w:rsidRPr="00000000" w14:paraId="00000086">
      <w:pPr>
        <w:pStyle w:val="Heading2"/>
        <w:keepNext w:val="0"/>
        <w:keepLines w:val="0"/>
        <w:widowControl w:val="0"/>
        <w:spacing w:after="80" w:line="300" w:lineRule="auto"/>
        <w:jc w:val="both"/>
        <w:rPr>
          <w:rFonts w:ascii="Century Gothic" w:cs="Century Gothic" w:eastAsia="Century Gothic" w:hAnsi="Century Gothic"/>
          <w:b w:val="1"/>
          <w:bCs w:val="1"/>
          <w:sz w:val="22"/>
          <w:szCs w:val="22"/>
        </w:rPr>
      </w:pPr>
      <w:bookmarkStart w:colFirst="0" w:colLast="0" w:name="_ok2875ew5qqz" w:id="4"/>
      <w:bookmarkEnd w:id="4"/>
      <w:r w:rsidDel="00000000" w:rsidR="00000000" w:rsidRPr="00000000">
        <w:rPr>
          <w:rFonts w:ascii="Century Gothic" w:cs="Century Gothic" w:eastAsia="Century Gothic" w:hAnsi="Century Gothic"/>
          <w:b w:val="1"/>
          <w:bCs w:val="1"/>
          <w:sz w:val="22"/>
          <w:szCs w:val="22"/>
          <w:rtl w:val="0"/>
        </w:rPr>
        <w:t xml:space="preserve">Fuente A</w:t>
      </w:r>
    </w:p>
    <w:p w:rsidR="00000000" w:rsidDel="00000000" w:rsidP="00000000" w:rsidRDefault="00000000" w:rsidRPr="00000000" w14:paraId="00000087">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artículo de Cognitio Juris ofrece una explicación detallada sobre cómo el narcotráfico se ha convertido en una amenaza estructural para la estabilidad política, el desarrollo económico y la seguridad ciudadana. Su valor para este </w:t>
      </w:r>
      <w:r w:rsidDel="00000000" w:rsidR="00000000" w:rsidRPr="00000000">
        <w:rPr>
          <w:rFonts w:ascii="Century Gothic" w:cs="Century Gothic" w:eastAsia="Century Gothic" w:hAnsi="Century Gothic"/>
          <w:i w:val="1"/>
          <w:iCs w:val="1"/>
          <w:rtl w:val="0"/>
        </w:rPr>
        <w:t xml:space="preserve">issue bulletin</w:t>
      </w:r>
      <w:r w:rsidDel="00000000" w:rsidR="00000000" w:rsidRPr="00000000">
        <w:rPr>
          <w:rFonts w:ascii="Century Gothic" w:cs="Century Gothic" w:eastAsia="Century Gothic" w:hAnsi="Century Gothic"/>
          <w:rtl w:val="0"/>
        </w:rPr>
        <w:t xml:space="preserve"> radica en que conecta el problema del narcotráfico con factores socioeconómicos más amplios, especialmente en zonas subdesarrolladas. Esta perspectiva es útil porque permite entender que el problema no depende únicamente de la oferta o demanda de drogas, sino también de condiciones estructurales que facilitan la expansión de economías ilícitas. El texto resulta relevante para reforzar la relación entre desigualdad, exclusión social y crimen organizado.</w:t>
      </w:r>
    </w:p>
    <w:p w:rsidR="00000000" w:rsidDel="00000000" w:rsidP="00000000" w:rsidRDefault="00000000" w:rsidRPr="00000000" w14:paraId="00000088">
      <w:pPr>
        <w:pStyle w:val="Heading2"/>
        <w:keepNext w:val="0"/>
        <w:keepLines w:val="0"/>
        <w:widowControl w:val="0"/>
        <w:spacing w:after="80" w:line="300" w:lineRule="auto"/>
        <w:jc w:val="both"/>
        <w:rPr>
          <w:rFonts w:ascii="Century Gothic" w:cs="Century Gothic" w:eastAsia="Century Gothic" w:hAnsi="Century Gothic"/>
          <w:b w:val="1"/>
          <w:bCs w:val="1"/>
          <w:sz w:val="22"/>
          <w:szCs w:val="22"/>
        </w:rPr>
      </w:pPr>
      <w:bookmarkStart w:colFirst="0" w:colLast="0" w:name="_s8ulck548y57" w:id="5"/>
      <w:bookmarkEnd w:id="5"/>
      <w:r w:rsidDel="00000000" w:rsidR="00000000" w:rsidRPr="00000000">
        <w:rPr>
          <w:rFonts w:ascii="Century Gothic" w:cs="Century Gothic" w:eastAsia="Century Gothic" w:hAnsi="Century Gothic"/>
          <w:b w:val="1"/>
          <w:bCs w:val="1"/>
          <w:sz w:val="22"/>
          <w:szCs w:val="22"/>
          <w:rtl w:val="0"/>
        </w:rPr>
        <w:t xml:space="preserve">Fuente B</w:t>
      </w:r>
    </w:p>
    <w:p w:rsidR="00000000" w:rsidDel="00000000" w:rsidP="00000000" w:rsidRDefault="00000000" w:rsidRPr="00000000" w14:paraId="00000089">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gráfico del World Inequality Report 2022 muestra cómo la exclusión social afecta de forma distinta a distintos grupos de edad, y destaca que los jóvenes han incrementado su vulnerabilidad con el paso del tiempo. Esta información es especialmente útil porque permite visualizar que la desigualdad no es un fenómeno abstracto, sino una realidad que afecta de manera concreta a los sectores más jóvenes y vulnerables. En el contexto del tema, esto ayuda a explicar por qué los jóvenes suelen ser un blanco frecuente del reclutamiento criminal. Además, el gráfico ofrece una representación clara de cómo la marginación social puede profundizarse con el tiempo si no se aplican políticas públicas eficaces.</w:t>
      </w:r>
    </w:p>
    <w:p w:rsidR="00000000" w:rsidDel="00000000" w:rsidP="00000000" w:rsidRDefault="00000000" w:rsidRPr="00000000" w14:paraId="0000008A">
      <w:pPr>
        <w:pStyle w:val="Heading2"/>
        <w:keepNext w:val="0"/>
        <w:keepLines w:val="0"/>
        <w:widowControl w:val="0"/>
        <w:spacing w:after="80" w:line="300" w:lineRule="auto"/>
        <w:jc w:val="both"/>
        <w:rPr>
          <w:rFonts w:ascii="Century Gothic" w:cs="Century Gothic" w:eastAsia="Century Gothic" w:hAnsi="Century Gothic"/>
          <w:sz w:val="22"/>
          <w:szCs w:val="22"/>
        </w:rPr>
      </w:pPr>
      <w:bookmarkStart w:colFirst="0" w:colLast="0" w:name="_eeznm4b8boc5" w:id="6"/>
      <w:bookmarkEnd w:id="6"/>
      <w:r w:rsidDel="00000000" w:rsidR="00000000" w:rsidRPr="00000000">
        <w:rPr>
          <w:rFonts w:ascii="Century Gothic" w:cs="Century Gothic" w:eastAsia="Century Gothic" w:hAnsi="Century Gothic"/>
          <w:sz w:val="22"/>
          <w:szCs w:val="22"/>
          <w:rtl w:val="0"/>
        </w:rPr>
        <w:t xml:space="preserve">Fuente C</w:t>
      </w:r>
    </w:p>
    <w:p w:rsidR="00000000" w:rsidDel="00000000" w:rsidP="00000000" w:rsidRDefault="00000000" w:rsidRPr="00000000" w14:paraId="0000008B">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w:t>
      </w:r>
      <w:r w:rsidDel="00000000" w:rsidR="00000000" w:rsidRPr="00000000">
        <w:rPr>
          <w:rFonts w:ascii="Century Gothic" w:cs="Century Gothic" w:eastAsia="Century Gothic" w:hAnsi="Century Gothic"/>
          <w:i w:val="1"/>
          <w:iCs w:val="1"/>
          <w:rtl w:val="0"/>
        </w:rPr>
        <w:t xml:space="preserve">World Inequality Report 2022</w:t>
      </w:r>
      <w:r w:rsidDel="00000000" w:rsidR="00000000" w:rsidRPr="00000000">
        <w:rPr>
          <w:rFonts w:ascii="Century Gothic" w:cs="Century Gothic" w:eastAsia="Century Gothic" w:hAnsi="Century Gothic"/>
          <w:rtl w:val="0"/>
        </w:rPr>
        <w:t xml:space="preserve">, elaborado por el World Inequality Lab, presenta una visión global sobre la desigualdad social, económica y de riqueza. Uno de sus hallazgos más importantes es que el 10% más rico de la población mundial concentra la mayor parte del ingreso y la riqueza, mientras que la mitad más pobre recibe una proporción mucho menor. Esta estadística es esencial para este tema porque demuestra la magnitud de las brechas estructurales que hacen que ciertas comunidades sean más vulnerables a economías ilegales. En otras palabras, el informe permite entender que el narcotráfico y el desvío de precursores no prosperan en el vacío, sino en contextos de desigualdad profundamente marcada.</w:t>
      </w:r>
    </w:p>
    <w:p w:rsidR="00000000" w:rsidDel="00000000" w:rsidP="00000000" w:rsidRDefault="00000000" w:rsidRPr="00000000" w14:paraId="0000008C">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Bibliografía</w:t>
      </w:r>
    </w:p>
    <w:p w:rsidR="00000000" w:rsidDel="00000000" w:rsidP="00000000" w:rsidRDefault="00000000" w:rsidRPr="00000000" w14:paraId="0000008E">
      <w:pPr>
        <w:widowControl w:val="0"/>
        <w:spacing w:after="120" w:before="12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Banco Mundial. “Está demostrado: con menos desigualdad se tiene menos crimen.” </w:t>
      </w:r>
      <w:r w:rsidDel="00000000" w:rsidR="00000000" w:rsidRPr="00000000">
        <w:rPr>
          <w:rFonts w:ascii="Century Gothic" w:cs="Century Gothic" w:eastAsia="Century Gothic" w:hAnsi="Century Gothic"/>
          <w:i w:val="1"/>
          <w:iCs w:val="1"/>
          <w:rtl w:val="0"/>
        </w:rPr>
        <w:t xml:space="preserve">Banco Mundial</w:t>
      </w:r>
      <w:r w:rsidDel="00000000" w:rsidR="00000000" w:rsidRPr="00000000">
        <w:rPr>
          <w:rFonts w:ascii="Century Gothic" w:cs="Century Gothic" w:eastAsia="Century Gothic" w:hAnsi="Century Gothic"/>
          <w:rtl w:val="0"/>
        </w:rPr>
        <w:t xml:space="preserve">, 30 Aug. 2016, </w:t>
      </w:r>
      <w:r w:rsidDel="00000000" w:rsidR="00000000" w:rsidRPr="00000000">
        <w:fldChar w:fldCharType="begin"/>
        <w:instrText xml:space="preserve"> HYPERLINK "https://www.bancomundial.org/es/news/feature/2014/09/03/latinoamerica-menos-desigualdad-se-reduce-el-crimen" </w:instrText>
        <w:fldChar w:fldCharType="separate"/>
      </w:r>
      <w:r w:rsidDel="00000000" w:rsidR="00000000" w:rsidRPr="00000000">
        <w:rPr>
          <w:rtl w:val="0"/>
        </w:rPr>
      </w:r>
    </w:p>
    <w:p w:rsidR="00000000" w:rsidDel="00000000" w:rsidP="00000000" w:rsidRDefault="00000000" w:rsidRPr="00000000" w14:paraId="0000008F">
      <w:pPr>
        <w:widowControl w:val="0"/>
        <w:spacing w:after="120" w:before="12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"https://www.bancomundial.org/es/news/feature/2014/09/03/latinoamerica-menos-desigualdad-se-reduce-el-crimen" </w:instrText>
        <w:fldChar w:fldCharType="separate"/>
      </w:r>
      <w:r w:rsidDel="00000000" w:rsidR="00000000" w:rsidRPr="00000000">
        <w:rPr>
          <w:rFonts w:ascii="Century Gothic" w:cs="Century Gothic" w:eastAsia="Century Gothic" w:hAnsi="Century Gothic"/>
          <w:u w:val="single"/>
          <w:rtl w:val="0"/>
        </w:rPr>
        <w:t xml:space="preserve">https://www.bancomundial.org/es/news/feature/2014/09/03/latinoamerica-menos-desigualdad-se-reduce-el-crimen</w:t>
      </w:r>
    </w:p>
    <w:p w:rsidR="00000000" w:rsidDel="00000000" w:rsidP="00000000" w:rsidRDefault="00000000" w:rsidRPr="00000000" w14:paraId="00000090">
      <w:pPr>
        <w:widowControl w:val="0"/>
        <w:spacing w:after="120" w:before="12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1">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menor desigualdad conduce a un menor nivel de delincuencia?” </w:t>
      </w:r>
      <w:r w:rsidDel="00000000" w:rsidR="00000000" w:rsidRPr="00000000">
        <w:rPr>
          <w:rFonts w:ascii="Century Gothic" w:cs="Century Gothic" w:eastAsia="Century Gothic" w:hAnsi="Century Gothic"/>
          <w:i w:val="1"/>
          <w:iCs w:val="1"/>
          <w:rtl w:val="0"/>
        </w:rPr>
        <w:t xml:space="preserve">World Bank Blogs</w:t>
      </w:r>
      <w:r w:rsidDel="00000000" w:rsidR="00000000" w:rsidRPr="00000000">
        <w:rPr>
          <w:rFonts w:ascii="Century Gothic" w:cs="Century Gothic" w:eastAsia="Century Gothic" w:hAnsi="Century Gothic"/>
          <w:rtl w:val="0"/>
        </w:rPr>
        <w:t xml:space="preserve">, 19 Aug. 2014, </w:t>
      </w:r>
      <w:r w:rsidDel="00000000" w:rsidR="00000000" w:rsidRPr="00000000">
        <w:fldChar w:fldCharType="begin"/>
        <w:instrText xml:space="preserve"> HYPERLINK "https://blogs.worldbank.org/es/voices/una-menor-desigualdad-conduce-un-menor-nivel-de-delincuencia" </w:instrText>
        <w:fldChar w:fldCharType="separate"/>
      </w:r>
      <w:r w:rsidDel="00000000" w:rsidR="00000000" w:rsidRPr="00000000">
        <w:rPr>
          <w:rtl w:val="0"/>
        </w:rPr>
      </w:r>
    </w:p>
    <w:p w:rsidR="00000000" w:rsidDel="00000000" w:rsidP="00000000" w:rsidRDefault="00000000" w:rsidRPr="00000000" w14:paraId="00000092">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"https://blogs.worldbank.org/es/voices/una-menor-desigualdad-conduce-un-menor-nivel-de-delincuencia" </w:instrText>
        <w:fldChar w:fldCharType="separate"/>
      </w:r>
      <w:r w:rsidDel="00000000" w:rsidR="00000000" w:rsidRPr="00000000">
        <w:rPr>
          <w:rFonts w:ascii="Century Gothic" w:cs="Century Gothic" w:eastAsia="Century Gothic" w:hAnsi="Century Gothic"/>
          <w:u w:val="single"/>
          <w:rtl w:val="0"/>
        </w:rPr>
        <w:t xml:space="preserve">https://blogs.worldbank.org/es/voices/una-menor-desigualdad-conduce-un-menor-nivel-de-delincuencia</w:t>
      </w:r>
    </w:p>
    <w:p w:rsidR="00000000" w:rsidDel="00000000" w:rsidP="00000000" w:rsidRDefault="00000000" w:rsidRPr="00000000" w14:paraId="00000093">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4">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“Así trabajamos para cerrar la brecha entre ricos y pobres en Centroamérica.” </w:t>
      </w:r>
      <w:r w:rsidDel="00000000" w:rsidR="00000000" w:rsidRPr="00000000">
        <w:rPr>
          <w:rFonts w:ascii="Century Gothic" w:cs="Century Gothic" w:eastAsia="Century Gothic" w:hAnsi="Century Gothic"/>
          <w:i w:val="1"/>
          <w:iCs w:val="1"/>
          <w:rtl w:val="0"/>
        </w:rPr>
        <w:t xml:space="preserve">Banco Mundial</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"https://blogs.worldbank.org/es/latinamerica/desigualdad-en-centroamerica" </w:instrText>
        <w:fldChar w:fldCharType="separate"/>
      </w:r>
      <w:r w:rsidDel="00000000" w:rsidR="00000000" w:rsidRPr="00000000">
        <w:rPr>
          <w:rtl w:val="0"/>
        </w:rPr>
      </w:r>
    </w:p>
    <w:p w:rsidR="00000000" w:rsidDel="00000000" w:rsidP="00000000" w:rsidRDefault="00000000" w:rsidRPr="00000000" w14:paraId="00000095">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"https://blogs.worldbank.org/es/latinamerica/desigualdad-en-centroamerica" </w:instrText>
        <w:fldChar w:fldCharType="separate"/>
      </w:r>
      <w:r w:rsidDel="00000000" w:rsidR="00000000" w:rsidRPr="00000000">
        <w:rPr>
          <w:rFonts w:ascii="Century Gothic" w:cs="Century Gothic" w:eastAsia="Century Gothic" w:hAnsi="Century Gothic"/>
          <w:u w:val="single"/>
          <w:rtl w:val="0"/>
        </w:rPr>
        <w:t xml:space="preserve">https://blogs.worldbank.org/es/latinamerica/desigualdad-en-centroamerica</w:t>
      </w:r>
    </w:p>
    <w:p w:rsidR="00000000" w:rsidDel="00000000" w:rsidP="00000000" w:rsidRDefault="00000000" w:rsidRPr="00000000" w14:paraId="00000096">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7">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“Cárteles, su estructura y sus miembros.” </w:t>
      </w:r>
      <w:r w:rsidDel="00000000" w:rsidR="00000000" w:rsidRPr="00000000">
        <w:rPr>
          <w:rFonts w:ascii="Century Gothic" w:cs="Century Gothic" w:eastAsia="Century Gothic" w:hAnsi="Century Gothic"/>
          <w:i w:val="1"/>
          <w:iCs w:val="1"/>
          <w:rtl w:val="0"/>
        </w:rPr>
        <w:t xml:space="preserve">El Informador</w:t>
      </w:r>
      <w:r w:rsidDel="00000000" w:rsidR="00000000" w:rsidRPr="00000000">
        <w:rPr>
          <w:rFonts w:ascii="Century Gothic" w:cs="Century Gothic" w:eastAsia="Century Gothic" w:hAnsi="Century Gothic"/>
          <w:rtl w:val="0"/>
        </w:rPr>
        <w:t xml:space="preserve">, 20 Oct. 2017, </w:t>
      </w:r>
      <w:r w:rsidDel="00000000" w:rsidR="00000000" w:rsidRPr="00000000">
        <w:fldChar w:fldCharType="begin"/>
        <w:instrText xml:space="preserve"> HYPERLINK "https://www.informador.mx/Mexico/Carteles-su-estructura-y-sus-miembros-20090826-0214.html" </w:instrText>
        <w:fldChar w:fldCharType="separate"/>
      </w:r>
      <w:r w:rsidDel="00000000" w:rsidR="00000000" w:rsidRPr="00000000">
        <w:rPr>
          <w:rtl w:val="0"/>
        </w:rPr>
      </w:r>
    </w:p>
    <w:p w:rsidR="00000000" w:rsidDel="00000000" w:rsidP="00000000" w:rsidRDefault="00000000" w:rsidRPr="00000000" w14:paraId="00000098">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"https://www.informador.mx/Mexico/Carteles-su-estructura-y-sus-miembros-20090826-0214.html" </w:instrText>
        <w:fldChar w:fldCharType="separate"/>
      </w:r>
      <w:r w:rsidDel="00000000" w:rsidR="00000000" w:rsidRPr="00000000">
        <w:rPr>
          <w:rFonts w:ascii="Century Gothic" w:cs="Century Gothic" w:eastAsia="Century Gothic" w:hAnsi="Century Gothic"/>
          <w:u w:val="single"/>
          <w:rtl w:val="0"/>
        </w:rPr>
        <w:t xml:space="preserve">https://www.informador.mx/Mexico/Carteles-su-estructura-y-sus-miembros-20090826-0214.html</w:t>
      </w:r>
    </w:p>
    <w:p w:rsidR="00000000" w:rsidDel="00000000" w:rsidP="00000000" w:rsidRDefault="00000000" w:rsidRPr="00000000" w14:paraId="00000099">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A">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“Control de precursores químicos para la fabricación ilícita de drogas.” </w:t>
      </w:r>
      <w:r w:rsidDel="00000000" w:rsidR="00000000" w:rsidRPr="00000000">
        <w:rPr>
          <w:rFonts w:ascii="Century Gothic" w:cs="Century Gothic" w:eastAsia="Century Gothic" w:hAnsi="Century Gothic"/>
          <w:i w:val="1"/>
          <w:iCs w:val="1"/>
          <w:rtl w:val="0"/>
        </w:rPr>
        <w:t xml:space="preserve">COPOLAD</w:t>
      </w:r>
      <w:r w:rsidDel="00000000" w:rsidR="00000000" w:rsidRPr="00000000">
        <w:rPr>
          <w:rFonts w:ascii="Century Gothic" w:cs="Century Gothic" w:eastAsia="Century Gothic" w:hAnsi="Century Gothic"/>
          <w:rtl w:val="0"/>
        </w:rPr>
        <w:t xml:space="preserve">, 22 May 2025, </w:t>
      </w:r>
      <w:r w:rsidDel="00000000" w:rsidR="00000000" w:rsidRPr="00000000">
        <w:fldChar w:fldCharType="begin"/>
        <w:instrText xml:space="preserve"> HYPERLINK "https://copolad.eu/es/grupos-de-trabajo/precursores-quimicos/" </w:instrText>
        <w:fldChar w:fldCharType="separate"/>
      </w:r>
      <w:r w:rsidDel="00000000" w:rsidR="00000000" w:rsidRPr="00000000">
        <w:rPr>
          <w:rtl w:val="0"/>
        </w:rPr>
      </w:r>
    </w:p>
    <w:p w:rsidR="00000000" w:rsidDel="00000000" w:rsidP="00000000" w:rsidRDefault="00000000" w:rsidRPr="00000000" w14:paraId="0000009B">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"https://copolad.eu/es/grupos-de-trabajo/precursores-quimicos/" </w:instrText>
        <w:fldChar w:fldCharType="separate"/>
      </w:r>
      <w:r w:rsidDel="00000000" w:rsidR="00000000" w:rsidRPr="00000000">
        <w:rPr>
          <w:rFonts w:ascii="Century Gothic" w:cs="Century Gothic" w:eastAsia="Century Gothic" w:hAnsi="Century Gothic"/>
          <w:u w:val="single"/>
          <w:rtl w:val="0"/>
        </w:rPr>
        <w:t xml:space="preserve">https://copolad.eu/es/grupos-de-trabajo/precursores-quimicos/</w:t>
      </w:r>
    </w:p>
    <w:p w:rsidR="00000000" w:rsidDel="00000000" w:rsidP="00000000" w:rsidRDefault="00000000" w:rsidRPr="00000000" w14:paraId="0000009C">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D">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“Control de precursores químicos utilizados en la fabricación ilícita de estupefacientes.” </w:t>
      </w:r>
      <w:r w:rsidDel="00000000" w:rsidR="00000000" w:rsidRPr="00000000">
        <w:rPr>
          <w:rFonts w:ascii="Century Gothic" w:cs="Century Gothic" w:eastAsia="Century Gothic" w:hAnsi="Century Gothic"/>
          <w:i w:val="1"/>
          <w:iCs w:val="1"/>
          <w:rtl w:val="0"/>
        </w:rPr>
        <w:t xml:space="preserve">Organización de los Estados Americanos</w:t>
      </w:r>
      <w:r w:rsidDel="00000000" w:rsidR="00000000" w:rsidRPr="00000000">
        <w:rPr>
          <w:rFonts w:ascii="Century Gothic" w:cs="Century Gothic" w:eastAsia="Century Gothic" w:hAnsi="Century Gothic"/>
          <w:rtl w:val="0"/>
        </w:rPr>
        <w:t xml:space="preserve">, 31 Oct. 2024, </w:t>
      </w:r>
      <w:r w:rsidDel="00000000" w:rsidR="00000000" w:rsidRPr="00000000">
        <w:fldChar w:fldCharType="begin"/>
        <w:instrText xml:space="preserve"> HYPERLINK "https://www.oas.org/ext/es/seguridad/control-precursores-quimicos-utilizados-fabricacion-ilicita-estupefacientes" </w:instrText>
        <w:fldChar w:fldCharType="separate"/>
      </w:r>
      <w:r w:rsidDel="00000000" w:rsidR="00000000" w:rsidRPr="00000000">
        <w:rPr>
          <w:rtl w:val="0"/>
        </w:rPr>
      </w:r>
    </w:p>
    <w:p w:rsidR="00000000" w:rsidDel="00000000" w:rsidP="00000000" w:rsidRDefault="00000000" w:rsidRPr="00000000" w14:paraId="0000009E">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"https://www.oas.org/ext/es/seguridad/control-precursores-quimicos-utilizados-fabricacion-ilicita-estupefacientes" </w:instrText>
        <w:fldChar w:fldCharType="separate"/>
      </w:r>
      <w:r w:rsidDel="00000000" w:rsidR="00000000" w:rsidRPr="00000000">
        <w:rPr>
          <w:rFonts w:ascii="Century Gothic" w:cs="Century Gothic" w:eastAsia="Century Gothic" w:hAnsi="Century Gothic"/>
          <w:u w:val="single"/>
          <w:rtl w:val="0"/>
        </w:rPr>
        <w:t xml:space="preserve">https://www.oas.org/ext/es/seguridad/control-precursores-quimicos-utilizados-fabricacion-ilicita-estupefacientes</w:t>
      </w:r>
    </w:p>
    <w:p w:rsidR="00000000" w:rsidDel="00000000" w:rsidP="00000000" w:rsidRDefault="00000000" w:rsidRPr="00000000" w14:paraId="0000009F">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0">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“Crimen y violencia en América Latina.” </w:t>
      </w:r>
      <w:r w:rsidDel="00000000" w:rsidR="00000000" w:rsidRPr="00000000">
        <w:rPr>
          <w:rFonts w:ascii="Century Gothic" w:cs="Century Gothic" w:eastAsia="Century Gothic" w:hAnsi="Century Gothic"/>
          <w:i w:val="1"/>
          <w:iCs w:val="1"/>
          <w:rtl w:val="0"/>
        </w:rPr>
        <w:t xml:space="preserve">Wikipedia</w:t>
      </w:r>
      <w:r w:rsidDel="00000000" w:rsidR="00000000" w:rsidRPr="00000000">
        <w:rPr>
          <w:rFonts w:ascii="Century Gothic" w:cs="Century Gothic" w:eastAsia="Century Gothic" w:hAnsi="Century Gothic"/>
          <w:rtl w:val="0"/>
        </w:rPr>
        <w:t xml:space="preserve">, 17 Sept. 2022.</w:t>
      </w:r>
    </w:p>
    <w:p w:rsidR="00000000" w:rsidDel="00000000" w:rsidP="00000000" w:rsidRDefault="00000000" w:rsidRPr="00000000" w14:paraId="000000A1">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combate a las drogas apoya el desarrollo sostenible, afirma UNODC.” </w:t>
      </w:r>
      <w:r w:rsidDel="00000000" w:rsidR="00000000" w:rsidRPr="00000000">
        <w:rPr>
          <w:rFonts w:ascii="Century Gothic" w:cs="Century Gothic" w:eastAsia="Century Gothic" w:hAnsi="Century Gothic"/>
          <w:i w:val="1"/>
          <w:iCs w:val="1"/>
          <w:rtl w:val="0"/>
        </w:rPr>
        <w:t xml:space="preserve">Naciones Unidas</w:t>
      </w:r>
      <w:r w:rsidDel="00000000" w:rsidR="00000000" w:rsidRPr="00000000">
        <w:rPr>
          <w:rFonts w:ascii="Century Gothic" w:cs="Century Gothic" w:eastAsia="Century Gothic" w:hAnsi="Century Gothic"/>
          <w:rtl w:val="0"/>
        </w:rPr>
        <w:t xml:space="preserve">, 12 Nov. 2017, </w:t>
      </w:r>
      <w:r w:rsidDel="00000000" w:rsidR="00000000" w:rsidRPr="00000000">
        <w:fldChar w:fldCharType="begin"/>
        <w:instrText xml:space="preserve"> HYPERLINK "https://www.un.org/sustainabledevelopment/es/2017/03/el-combate-a-las-drogas-apoya-el-desarrollo-sostenible-afirma-unodc/" </w:instrText>
        <w:fldChar w:fldCharType="separate"/>
      </w:r>
      <w:r w:rsidDel="00000000" w:rsidR="00000000" w:rsidRPr="00000000">
        <w:rPr>
          <w:rtl w:val="0"/>
        </w:rPr>
      </w:r>
    </w:p>
    <w:p w:rsidR="00000000" w:rsidDel="00000000" w:rsidP="00000000" w:rsidRDefault="00000000" w:rsidRPr="00000000" w14:paraId="000000A2">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"https://www.un.org/sustainabledevelopment/es/2017/03/el-combate-a-las-drogas-apoya-el-desarrollo-sostenible-afirma-unodc/" </w:instrText>
        <w:fldChar w:fldCharType="separate"/>
      </w:r>
      <w:r w:rsidDel="00000000" w:rsidR="00000000" w:rsidRPr="00000000">
        <w:rPr>
          <w:rFonts w:ascii="Century Gothic" w:cs="Century Gothic" w:eastAsia="Century Gothic" w:hAnsi="Century Gothic"/>
          <w:u w:val="single"/>
          <w:rtl w:val="0"/>
        </w:rPr>
        <w:t xml:space="preserve">https://www.un.org/sustainabledevelopment/es/2017/03/el-combate-a-las-drogas-apoya-el-desarrollo-sostenible-afirma-unodc/</w:t>
      </w:r>
    </w:p>
    <w:p w:rsidR="00000000" w:rsidDel="00000000" w:rsidP="00000000" w:rsidRDefault="00000000" w:rsidRPr="00000000" w14:paraId="000000A3">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4">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“Exclusión social: definición, impacto, ejemplos y oportunidades futuras.” </w:t>
      </w:r>
      <w:r w:rsidDel="00000000" w:rsidR="00000000" w:rsidRPr="00000000">
        <w:rPr>
          <w:rFonts w:ascii="Century Gothic" w:cs="Century Gothic" w:eastAsia="Century Gothic" w:hAnsi="Century Gothic"/>
          <w:i w:val="1"/>
          <w:iCs w:val="1"/>
          <w:rtl w:val="0"/>
        </w:rPr>
        <w:t xml:space="preserve">Liberties.eu</w:t>
      </w:r>
      <w:r w:rsidDel="00000000" w:rsidR="00000000" w:rsidRPr="00000000">
        <w:rPr>
          <w:rFonts w:ascii="Century Gothic" w:cs="Century Gothic" w:eastAsia="Century Gothic" w:hAnsi="Century Gothic"/>
          <w:rtl w:val="0"/>
        </w:rPr>
        <w:t xml:space="preserve">, 14 June 2021, </w:t>
      </w:r>
      <w:r w:rsidDel="00000000" w:rsidR="00000000" w:rsidRPr="00000000">
        <w:fldChar w:fldCharType="begin"/>
        <w:instrText xml:space="preserve"> HYPERLINK "https://www.liberties.eu/es/stories/exclusion-social/43579" </w:instrText>
        <w:fldChar w:fldCharType="separate"/>
      </w:r>
      <w:r w:rsidDel="00000000" w:rsidR="00000000" w:rsidRPr="00000000">
        <w:rPr>
          <w:rtl w:val="0"/>
        </w:rPr>
      </w:r>
    </w:p>
    <w:p w:rsidR="00000000" w:rsidDel="00000000" w:rsidP="00000000" w:rsidRDefault="00000000" w:rsidRPr="00000000" w14:paraId="000000A5">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"https://www.liberties.eu/es/stories/exclusion-social/43579" </w:instrText>
        <w:fldChar w:fldCharType="separate"/>
      </w:r>
      <w:r w:rsidDel="00000000" w:rsidR="00000000" w:rsidRPr="00000000">
        <w:rPr>
          <w:rFonts w:ascii="Century Gothic" w:cs="Century Gothic" w:eastAsia="Century Gothic" w:hAnsi="Century Gothic"/>
          <w:u w:val="single"/>
          <w:rtl w:val="0"/>
        </w:rPr>
        <w:t xml:space="preserve">https://www.liberties.eu/es/stories/exclusion-social/43579</w:t>
      </w:r>
    </w:p>
    <w:p w:rsidR="00000000" w:rsidDel="00000000" w:rsidP="00000000" w:rsidRDefault="00000000" w:rsidRPr="00000000" w14:paraId="000000A6">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7">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“Exploring the Impact of Ghana’s Drug Policy Reform.” </w:t>
      </w:r>
      <w:r w:rsidDel="00000000" w:rsidR="00000000" w:rsidRPr="00000000">
        <w:rPr>
          <w:rFonts w:ascii="Century Gothic" w:cs="Century Gothic" w:eastAsia="Century Gothic" w:hAnsi="Century Gothic"/>
          <w:i w:val="1"/>
          <w:iCs w:val="1"/>
          <w:rtl w:val="0"/>
        </w:rPr>
        <w:t xml:space="preserve">Global Initiative</w:t>
      </w:r>
      <w:r w:rsidDel="00000000" w:rsidR="00000000" w:rsidRPr="00000000">
        <w:rPr>
          <w:rFonts w:ascii="Century Gothic" w:cs="Century Gothic" w:eastAsia="Century Gothic" w:hAnsi="Century Gothic"/>
          <w:rtl w:val="0"/>
        </w:rPr>
        <w:t xml:space="preserve">, 8 Feb. 2024, </w:t>
      </w:r>
      <w:r w:rsidDel="00000000" w:rsidR="00000000" w:rsidRPr="00000000">
        <w:fldChar w:fldCharType="begin"/>
        <w:instrText xml:space="preserve"> HYPERLINK "https://globalinitiative.net/analysis/regulating-drugs-west-africa-ghana-drug-policy-reform/" </w:instrText>
        <w:fldChar w:fldCharType="separate"/>
      </w:r>
      <w:r w:rsidDel="00000000" w:rsidR="00000000" w:rsidRPr="00000000">
        <w:rPr>
          <w:rtl w:val="0"/>
        </w:rPr>
      </w:r>
    </w:p>
    <w:p w:rsidR="00000000" w:rsidDel="00000000" w:rsidP="00000000" w:rsidRDefault="00000000" w:rsidRPr="00000000" w14:paraId="000000A8">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"https://globalinitiative.net/analysis/regulating-drugs-west-africa-ghana-drug-policy-reform/" </w:instrText>
        <w:fldChar w:fldCharType="separate"/>
      </w:r>
      <w:r w:rsidDel="00000000" w:rsidR="00000000" w:rsidRPr="00000000">
        <w:rPr>
          <w:rFonts w:ascii="Century Gothic" w:cs="Century Gothic" w:eastAsia="Century Gothic" w:hAnsi="Century Gothic"/>
          <w:u w:val="single"/>
          <w:rtl w:val="0"/>
        </w:rPr>
        <w:t xml:space="preserve">https://globalinitiative.net/analysis/regulating-drugs-west-africa-ghana-drug-policy-reform/</w:t>
      </w:r>
    </w:p>
    <w:p w:rsidR="00000000" w:rsidDel="00000000" w:rsidP="00000000" w:rsidRDefault="00000000" w:rsidRPr="00000000" w14:paraId="000000A9">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A">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Objetivos de Desarrollo Sostenible (ODS).” </w:t>
      </w:r>
      <w:r w:rsidDel="00000000" w:rsidR="00000000" w:rsidRPr="00000000">
        <w:rPr>
          <w:rFonts w:ascii="Century Gothic" w:cs="Century Gothic" w:eastAsia="Century Gothic" w:hAnsi="Century Gothic"/>
          <w:i w:val="1"/>
          <w:iCs w:val="1"/>
          <w:rtl w:val="0"/>
        </w:rPr>
        <w:t xml:space="preserve">UNODC</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"https://www.unodc.org/unodc/es/human-trafficking/sdgs.html" </w:instrText>
        <w:fldChar w:fldCharType="separate"/>
      </w:r>
      <w:r w:rsidDel="00000000" w:rsidR="00000000" w:rsidRPr="00000000">
        <w:rPr>
          <w:rtl w:val="0"/>
        </w:rPr>
      </w:r>
    </w:p>
    <w:p w:rsidR="00000000" w:rsidDel="00000000" w:rsidP="00000000" w:rsidRDefault="00000000" w:rsidRPr="00000000" w14:paraId="000000AB">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"https://www.unodc.org/unodc/es/human-trafficking/sdgs.html" </w:instrText>
        <w:fldChar w:fldCharType="separate"/>
      </w:r>
      <w:r w:rsidDel="00000000" w:rsidR="00000000" w:rsidRPr="00000000">
        <w:rPr>
          <w:rFonts w:ascii="Century Gothic" w:cs="Century Gothic" w:eastAsia="Century Gothic" w:hAnsi="Century Gothic"/>
          <w:u w:val="single"/>
          <w:rtl w:val="0"/>
        </w:rPr>
        <w:t xml:space="preserve">https://www.unodc.org/unodc/es/human-trafficking/sdgs.html</w:t>
      </w:r>
    </w:p>
    <w:p w:rsidR="00000000" w:rsidDel="00000000" w:rsidP="00000000" w:rsidRDefault="00000000" w:rsidRPr="00000000" w14:paraId="000000AC">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D">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“Precursores y sustancias químicas frecuentemente utilizados para la fabricación ilícita de estupefacientes y sustancias sicotrópicas 2024.” </w:t>
      </w:r>
      <w:r w:rsidDel="00000000" w:rsidR="00000000" w:rsidRPr="00000000">
        <w:rPr>
          <w:rFonts w:ascii="Century Gothic" w:cs="Century Gothic" w:eastAsia="Century Gothic" w:hAnsi="Century Gothic"/>
          <w:i w:val="1"/>
          <w:iCs w:val="1"/>
          <w:rtl w:val="0"/>
        </w:rPr>
        <w:t xml:space="preserve">International Narcotics Control Board</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"https://www.incb.org/incb/en/precursors/technical_reports/2024.html" </w:instrText>
        <w:fldChar w:fldCharType="separate"/>
      </w:r>
      <w:r w:rsidDel="00000000" w:rsidR="00000000" w:rsidRPr="00000000">
        <w:rPr>
          <w:rtl w:val="0"/>
        </w:rPr>
      </w:r>
    </w:p>
    <w:p w:rsidR="00000000" w:rsidDel="00000000" w:rsidP="00000000" w:rsidRDefault="00000000" w:rsidRPr="00000000" w14:paraId="000000AE">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"https://www.incb.org/incb/en/precursors/technical_reports/2024.html" </w:instrText>
        <w:fldChar w:fldCharType="separate"/>
      </w:r>
      <w:r w:rsidDel="00000000" w:rsidR="00000000" w:rsidRPr="00000000">
        <w:rPr>
          <w:rFonts w:ascii="Century Gothic" w:cs="Century Gothic" w:eastAsia="Century Gothic" w:hAnsi="Century Gothic"/>
          <w:u w:val="single"/>
          <w:rtl w:val="0"/>
        </w:rPr>
        <w:t xml:space="preserve">https://www.incb.org/incb/en/precursors/technical_reports/2024.html</w:t>
      </w:r>
    </w:p>
    <w:p w:rsidR="00000000" w:rsidDel="00000000" w:rsidP="00000000" w:rsidRDefault="00000000" w:rsidRPr="00000000" w14:paraId="000000AF">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0">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“Precursores y sustancias químicas frecuentemente utilizados para la fabricación ilícita de estupefacientes y sustancias sicotrópicas 2025.” </w:t>
      </w:r>
      <w:r w:rsidDel="00000000" w:rsidR="00000000" w:rsidRPr="00000000">
        <w:rPr>
          <w:rFonts w:ascii="Century Gothic" w:cs="Century Gothic" w:eastAsia="Century Gothic" w:hAnsi="Century Gothic"/>
          <w:i w:val="1"/>
          <w:iCs w:val="1"/>
          <w:rtl w:val="0"/>
        </w:rPr>
        <w:t xml:space="preserve">International Narcotics Control Board</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"https://www.incb.org/incb/uploads/documents/Publications/AnnualReports/AR2025/Precursors_Report/E_INCB_2025_4_eng.pdf" </w:instrText>
        <w:fldChar w:fldCharType="separate"/>
      </w:r>
      <w:r w:rsidDel="00000000" w:rsidR="00000000" w:rsidRPr="00000000">
        <w:rPr>
          <w:rtl w:val="0"/>
        </w:rPr>
      </w:r>
    </w:p>
    <w:p w:rsidR="00000000" w:rsidDel="00000000" w:rsidP="00000000" w:rsidRDefault="00000000" w:rsidRPr="00000000" w14:paraId="000000B1">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"https://www.incb.org/incb/uploads/documents/Publications/AnnualReports/AR2025/Precursors_Report/E_INCB_2025_4_eng.pdf" </w:instrText>
        <w:fldChar w:fldCharType="separate"/>
      </w:r>
      <w:r w:rsidDel="00000000" w:rsidR="00000000" w:rsidRPr="00000000">
        <w:rPr>
          <w:rFonts w:ascii="Century Gothic" w:cs="Century Gothic" w:eastAsia="Century Gothic" w:hAnsi="Century Gothic"/>
          <w:u w:val="single"/>
          <w:rtl w:val="0"/>
        </w:rPr>
        <w:t xml:space="preserve">https://www.incb.org/incb/uploads/documents/Publications/AnnualReports/AR2025/Precursors_Report/E_INCB_2025_4_eng.pdf</w:t>
      </w:r>
    </w:p>
    <w:p w:rsidR="00000000" w:rsidDel="00000000" w:rsidP="00000000" w:rsidRDefault="00000000" w:rsidRPr="00000000" w14:paraId="000000B2">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3">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“Report of the International Narcotics Control Board for 2025.” </w:t>
      </w:r>
      <w:r w:rsidDel="00000000" w:rsidR="00000000" w:rsidRPr="00000000">
        <w:rPr>
          <w:rFonts w:ascii="Century Gothic" w:cs="Century Gothic" w:eastAsia="Century Gothic" w:hAnsi="Century Gothic"/>
          <w:i w:val="1"/>
          <w:iCs w:val="1"/>
          <w:rtl w:val="0"/>
        </w:rPr>
        <w:t xml:space="preserve">UNIS Vienna</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"https://unis.unvienna.org/unis/uploads/documents/2026-INCB/INCB_report_E.pdf" </w:instrText>
        <w:fldChar w:fldCharType="separate"/>
      </w:r>
      <w:r w:rsidDel="00000000" w:rsidR="00000000" w:rsidRPr="00000000">
        <w:rPr>
          <w:rtl w:val="0"/>
        </w:rPr>
      </w:r>
    </w:p>
    <w:p w:rsidR="00000000" w:rsidDel="00000000" w:rsidP="00000000" w:rsidRDefault="00000000" w:rsidRPr="00000000" w14:paraId="000000B4">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"https://unis.unvienna.org/unis/uploads/documents/2026-INCB/INCB_report_E.pdf" </w:instrText>
        <w:fldChar w:fldCharType="separate"/>
      </w:r>
      <w:r w:rsidDel="00000000" w:rsidR="00000000" w:rsidRPr="00000000">
        <w:rPr>
          <w:rFonts w:ascii="Century Gothic" w:cs="Century Gothic" w:eastAsia="Century Gothic" w:hAnsi="Century Gothic"/>
          <w:u w:val="single"/>
          <w:rtl w:val="0"/>
        </w:rPr>
        <w:t xml:space="preserve">https://unis.unvienna.org/unis/uploads/documents/2026-INCB/INCB_report_E.pdf</w:t>
      </w:r>
    </w:p>
    <w:p w:rsidR="00000000" w:rsidDel="00000000" w:rsidP="00000000" w:rsidRDefault="00000000" w:rsidRPr="00000000" w14:paraId="000000B5">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6">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“UNODC Annual Report 2024.” </w:t>
      </w:r>
      <w:r w:rsidDel="00000000" w:rsidR="00000000" w:rsidRPr="00000000">
        <w:rPr>
          <w:rFonts w:ascii="Century Gothic" w:cs="Century Gothic" w:eastAsia="Century Gothic" w:hAnsi="Century Gothic"/>
          <w:i w:val="1"/>
          <w:iCs w:val="1"/>
          <w:rtl w:val="0"/>
        </w:rPr>
        <w:t xml:space="preserve">UNODC</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"https://www.unodc.org/documents/AnnualReport/UNODC_REPORT_2024_MAY6_WEB.pdf" </w:instrText>
        <w:fldChar w:fldCharType="separate"/>
      </w:r>
      <w:r w:rsidDel="00000000" w:rsidR="00000000" w:rsidRPr="00000000">
        <w:rPr>
          <w:rtl w:val="0"/>
        </w:rPr>
      </w:r>
    </w:p>
    <w:p w:rsidR="00000000" w:rsidDel="00000000" w:rsidP="00000000" w:rsidRDefault="00000000" w:rsidRPr="00000000" w14:paraId="000000B7">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"https://www.unodc.org/documents/AnnualReport/UNODC_REPORT_2024_MAY6_WEB.pdf" </w:instrText>
        <w:fldChar w:fldCharType="separate"/>
      </w:r>
      <w:r w:rsidDel="00000000" w:rsidR="00000000" w:rsidRPr="00000000">
        <w:rPr>
          <w:rFonts w:ascii="Century Gothic" w:cs="Century Gothic" w:eastAsia="Century Gothic" w:hAnsi="Century Gothic"/>
          <w:u w:val="single"/>
          <w:rtl w:val="0"/>
        </w:rPr>
        <w:t xml:space="preserve">https://www.unodc.org/documents/AnnualReport/UNODC_REPORT_2024_MAY6_WEB.pdf</w:t>
      </w:r>
    </w:p>
    <w:p w:rsidR="00000000" w:rsidDel="00000000" w:rsidP="00000000" w:rsidRDefault="00000000" w:rsidRPr="00000000" w14:paraId="000000B8">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9">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“UNODC y los ODS.” </w:t>
      </w:r>
      <w:r w:rsidDel="00000000" w:rsidR="00000000" w:rsidRPr="00000000">
        <w:rPr>
          <w:rFonts w:ascii="Century Gothic" w:cs="Century Gothic" w:eastAsia="Century Gothic" w:hAnsi="Century Gothic"/>
          <w:i w:val="1"/>
          <w:iCs w:val="1"/>
          <w:rtl w:val="0"/>
        </w:rPr>
        <w:t xml:space="preserve">UNODC</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"https://www.unodc.org/ropan/es/unodc-y-los-ods.html" </w:instrText>
        <w:fldChar w:fldCharType="separate"/>
      </w:r>
      <w:r w:rsidDel="00000000" w:rsidR="00000000" w:rsidRPr="00000000">
        <w:rPr>
          <w:rtl w:val="0"/>
        </w:rPr>
      </w:r>
    </w:p>
    <w:p w:rsidR="00000000" w:rsidDel="00000000" w:rsidP="00000000" w:rsidRDefault="00000000" w:rsidRPr="00000000" w14:paraId="000000BA">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"https://www.unodc.org/ropan/es/unodc-y-los-ods.html" </w:instrText>
        <w:fldChar w:fldCharType="separate"/>
      </w:r>
      <w:r w:rsidDel="00000000" w:rsidR="00000000" w:rsidRPr="00000000">
        <w:rPr>
          <w:rFonts w:ascii="Century Gothic" w:cs="Century Gothic" w:eastAsia="Century Gothic" w:hAnsi="Century Gothic"/>
          <w:u w:val="single"/>
          <w:rtl w:val="0"/>
        </w:rPr>
        <w:t xml:space="preserve">https://www.unodc.org/ropan/es/unodc-y-los-ods.html</w:t>
      </w:r>
    </w:p>
    <w:p w:rsidR="00000000" w:rsidDel="00000000" w:rsidP="00000000" w:rsidRDefault="00000000" w:rsidRPr="00000000" w14:paraId="000000BB">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C">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inequality report 2022.” </w:t>
      </w:r>
      <w:r w:rsidDel="00000000" w:rsidR="00000000" w:rsidRPr="00000000">
        <w:rPr>
          <w:rFonts w:ascii="Century Gothic" w:cs="Century Gothic" w:eastAsia="Century Gothic" w:hAnsi="Century Gothic"/>
          <w:i w:val="1"/>
          <w:iCs w:val="1"/>
          <w:rtl w:val="0"/>
        </w:rPr>
        <w:t xml:space="preserve">Biblioteca Digital CCB</w:t>
      </w:r>
      <w:r w:rsidDel="00000000" w:rsidR="00000000" w:rsidRPr="00000000">
        <w:rPr>
          <w:rFonts w:ascii="Century Gothic" w:cs="Century Gothic" w:eastAsia="Century Gothic" w:hAnsi="Century Gothic"/>
          <w:rtl w:val="0"/>
        </w:rPr>
        <w:t xml:space="preserve">, 6 Dec. 2021, </w:t>
      </w:r>
      <w:r w:rsidDel="00000000" w:rsidR="00000000" w:rsidRPr="00000000">
        <w:fldChar w:fldCharType="begin"/>
        <w:instrText xml:space="preserve"> HYPERLINK "https://bibliotecadigital.ccb.org.co/handle/11520/27510" </w:instrText>
        <w:fldChar w:fldCharType="separate"/>
      </w:r>
      <w:r w:rsidDel="00000000" w:rsidR="00000000" w:rsidRPr="00000000">
        <w:rPr>
          <w:rtl w:val="0"/>
        </w:rPr>
      </w:r>
    </w:p>
    <w:p w:rsidR="00000000" w:rsidDel="00000000" w:rsidP="00000000" w:rsidRDefault="00000000" w:rsidRPr="00000000" w14:paraId="000000BD">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"https://bibliotecadigital.ccb.org.co/handle/11520/27510" </w:instrText>
        <w:fldChar w:fldCharType="separate"/>
      </w:r>
      <w:r w:rsidDel="00000000" w:rsidR="00000000" w:rsidRPr="00000000">
        <w:rPr>
          <w:rFonts w:ascii="Century Gothic" w:cs="Century Gothic" w:eastAsia="Century Gothic" w:hAnsi="Century Gothic"/>
          <w:u w:val="single"/>
          <w:rtl w:val="0"/>
        </w:rPr>
        <w:t xml:space="preserve">https://bibliotecadigital.ccb.org.co/handle/11520/27510</w:t>
      </w:r>
    </w:p>
    <w:p w:rsidR="00000000" w:rsidDel="00000000" w:rsidP="00000000" w:rsidRDefault="00000000" w:rsidRPr="00000000" w14:paraId="000000BE">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BF">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Inequality Report 2022.” </w:t>
      </w:r>
      <w:r w:rsidDel="00000000" w:rsidR="00000000" w:rsidRPr="00000000">
        <w:rPr>
          <w:rFonts w:ascii="Century Gothic" w:cs="Century Gothic" w:eastAsia="Century Gothic" w:hAnsi="Century Gothic"/>
          <w:i w:val="1"/>
          <w:iCs w:val="1"/>
          <w:rtl w:val="0"/>
        </w:rPr>
        <w:t xml:space="preserve">WID.world</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"https://wir2022.wid.world/download/" </w:instrText>
        <w:fldChar w:fldCharType="separate"/>
      </w:r>
      <w:r w:rsidDel="00000000" w:rsidR="00000000" w:rsidRPr="00000000">
        <w:rPr>
          <w:rtl w:val="0"/>
        </w:rPr>
      </w:r>
    </w:p>
    <w:p w:rsidR="00000000" w:rsidDel="00000000" w:rsidP="00000000" w:rsidRDefault="00000000" w:rsidRPr="00000000" w14:paraId="000000C0">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"https://wir2022.wid.world/download/" </w:instrText>
        <w:fldChar w:fldCharType="separate"/>
      </w:r>
      <w:r w:rsidDel="00000000" w:rsidR="00000000" w:rsidRPr="00000000">
        <w:rPr>
          <w:rFonts w:ascii="Century Gothic" w:cs="Century Gothic" w:eastAsia="Century Gothic" w:hAnsi="Century Gothic"/>
          <w:u w:val="single"/>
          <w:rtl w:val="0"/>
        </w:rPr>
        <w:t xml:space="preserve">https://wir2022.wid.world/download/</w:t>
      </w:r>
    </w:p>
    <w:p w:rsidR="00000000" w:rsidDel="00000000" w:rsidP="00000000" w:rsidRDefault="00000000" w:rsidRPr="00000000" w14:paraId="000000C1">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C2">
      <w:pPr>
        <w:widowControl w:val="0"/>
        <w:spacing w:after="12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Inequality Report 2022.” </w:t>
      </w:r>
      <w:r w:rsidDel="00000000" w:rsidR="00000000" w:rsidRPr="00000000">
        <w:rPr>
          <w:rFonts w:ascii="Century Gothic" w:cs="Century Gothic" w:eastAsia="Century Gothic" w:hAnsi="Century Gothic"/>
          <w:i w:val="1"/>
          <w:iCs w:val="1"/>
          <w:rtl w:val="0"/>
        </w:rPr>
        <w:t xml:space="preserve">WID.world</w:t>
      </w:r>
      <w:r w:rsidDel="00000000" w:rsidR="00000000" w:rsidRPr="00000000">
        <w:rPr>
          <w:rFonts w:ascii="Century Gothic" w:cs="Century Gothic" w:eastAsia="Century Gothic" w:hAnsi="Century Gothic"/>
          <w:rtl w:val="0"/>
        </w:rPr>
        <w:t xml:space="preserve">, </w:t>
      </w:r>
      <w:r w:rsidDel="00000000" w:rsidR="00000000" w:rsidRPr="00000000">
        <w:fldChar w:fldCharType="begin"/>
        <w:instrText xml:space="preserve"> HYPERLINK "https://wid.world/es/wid-world-es/" </w:instrText>
        <w:fldChar w:fldCharType="separate"/>
      </w:r>
      <w:r w:rsidDel="00000000" w:rsidR="00000000" w:rsidRPr="00000000">
        <w:rPr>
          <w:rtl w:val="0"/>
        </w:rPr>
      </w:r>
    </w:p>
    <w:p w:rsidR="00000000" w:rsidDel="00000000" w:rsidP="00000000" w:rsidRDefault="00000000" w:rsidRPr="00000000" w14:paraId="000000C3">
      <w:pPr>
        <w:widowControl w:val="0"/>
        <w:spacing w:after="120" w:before="240" w:line="360" w:lineRule="auto"/>
        <w:jc w:val="both"/>
        <w:rPr>
          <w:rFonts w:ascii="Century Gothic" w:cs="Century Gothic" w:eastAsia="Century Gothic" w:hAnsi="Century Gothic"/>
          <w:u w:val="single"/>
        </w:rPr>
      </w:pPr>
      <w:r w:rsidDel="00000000" w:rsidR="00000000" w:rsidRPr="00000000">
        <w:fldChar w:fldCharType="end"/>
      </w:r>
      <w:r w:rsidDel="00000000" w:rsidR="00000000" w:rsidRPr="00000000">
        <w:fldChar w:fldCharType="begin"/>
        <w:instrText xml:space="preserve"> HYPERLINK "https://wid.world/es/wid-world-es/" </w:instrText>
        <w:fldChar w:fldCharType="separate"/>
      </w:r>
      <w:r w:rsidDel="00000000" w:rsidR="00000000" w:rsidRPr="00000000">
        <w:rPr>
          <w:rFonts w:ascii="Century Gothic" w:cs="Century Gothic" w:eastAsia="Century Gothic" w:hAnsi="Century Gothic"/>
          <w:u w:val="single"/>
          <w:rtl w:val="0"/>
        </w:rPr>
        <w:t xml:space="preserve">https://wid.world/es/wid-world-es/</w:t>
      </w:r>
    </w:p>
    <w:p w:rsidR="00000000" w:rsidDel="00000000" w:rsidP="00000000" w:rsidRDefault="00000000" w:rsidRPr="00000000" w14:paraId="000000C4">
      <w:pPr>
        <w:widowControl w:val="0"/>
        <w:spacing w:after="120" w:before="240" w:line="360" w:lineRule="auto"/>
        <w:jc w:val="both"/>
        <w:rPr>
          <w:rFonts w:ascii="Century Gothic" w:cs="Century Gothic" w:eastAsia="Century Gothic" w:hAnsi="Century Gothic"/>
        </w:rPr>
      </w:pPr>
      <w:r w:rsidDel="00000000" w:rsidR="00000000" w:rsidRPr="00000000">
        <w:fldChar w:fldCharType="end"/>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C5">
      <w:pPr>
        <w:pageBreakBefore w:val="0"/>
        <w:widowControl w:val="0"/>
        <w:spacing w:after="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6">
      <w:pPr>
        <w:pageBreakBefore w:val="0"/>
        <w:widowControl w:val="0"/>
        <w:spacing w:after="200" w:line="360" w:lineRule="auto"/>
        <w:jc w:val="both"/>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rPr>
        <w:rFonts w:ascii="Poppins" w:cs="Poppins" w:eastAsia="Poppins" w:hAnsi="Poppins"/>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ageBreakBefore w:val="0"/>
      <w:ind w:right="-360"/>
      <w:rPr>
        <w:sz w:val="18"/>
        <w:szCs w:val="18"/>
      </w:rPr>
    </w:pPr>
    <w:r w:rsidDel="00000000" w:rsidR="00000000" w:rsidRPr="00000000">
      <w:rPr>
        <w:rtl w:val="0"/>
      </w:rPr>
      <w:tab/>
      <w:tab/>
      <w:tab/>
      <w:tab/>
      <w:tab/>
      <w:tab/>
    </w:r>
    <w:r w:rsidDel="00000000" w:rsidR="00000000" w:rsidRPr="00000000">
      <w:rPr>
        <w:b w:val="1"/>
        <w:bCs w:val="1"/>
        <w:sz w:val="18"/>
        <w:szCs w:val="18"/>
        <w:rtl w:val="0"/>
      </w:rPr>
      <w:t xml:space="preserve">Panama Model United Nations</w:t>
    </w:r>
    <w:r w:rsidDel="00000000" w:rsidR="00000000" w:rsidRPr="00000000">
      <w:rPr>
        <w:sz w:val="18"/>
        <w:szCs w:val="18"/>
        <w:rtl w:val="0"/>
      </w:rPr>
      <w:t xml:space="preserve"> </w:t>
    </w:r>
    <w:r w:rsidDel="00000000" w:rsidR="00000000" w:rsidRPr="00000000">
      <w:rPr>
        <w:b w:val="1"/>
        <w:bCs w:val="1"/>
        <w:color w:val="0000ff"/>
        <w:sz w:val="18"/>
        <w:szCs w:val="18"/>
        <w:rtl w:val="0"/>
      </w:rPr>
      <w:t xml:space="preserve">2026</w:t>
    </w:r>
    <w:r w:rsidDel="00000000" w:rsidR="00000000" w:rsidRPr="00000000">
      <w:rPr>
        <w:sz w:val="18"/>
        <w:szCs w:val="18"/>
        <w:rtl w:val="0"/>
      </w:rPr>
      <w:t xml:space="preserve">| XXXIV Sesión Anual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