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360" w:lineRule="auto"/>
        <w:jc w:val="both"/>
        <w:rPr>
          <w:rFonts w:ascii="Century Gothic" w:cs="Century Gothic" w:eastAsia="Century Gothic" w:hAnsi="Century Gothic"/>
        </w:rPr>
      </w:pPr>
      <w:bookmarkStart w:colFirst="0" w:colLast="0" w:name="_gjdgxs" w:id="0"/>
      <w:bookmarkEnd w:id="0"/>
      <w:r w:rsidDel="00000000" w:rsidR="00000000" w:rsidRPr="00000000">
        <w:rPr>
          <w:rFonts w:ascii="Century Gothic" w:cs="Century Gothic" w:eastAsia="Century Gothic" w:hAnsi="Century Gothic"/>
          <w:b w:val="1"/>
          <w:bCs w:val="1"/>
          <w:rtl w:val="0"/>
        </w:rPr>
        <w:t xml:space="preserve">Forum:</w:t>
      </w:r>
      <w:r w:rsidDel="00000000" w:rsidR="00000000" w:rsidRPr="00000000">
        <w:rPr>
          <w:rFonts w:ascii="Century Gothic" w:cs="Century Gothic" w:eastAsia="Century Gothic" w:hAnsi="Century Gothic"/>
          <w:b w:val="1"/>
          <w:bCs w:val="1"/>
          <w:rtl w:val="0"/>
        </w:rPr>
        <w:t xml:space="preserve"> </w:t>
      </w:r>
      <w:r w:rsidDel="00000000" w:rsidR="00000000" w:rsidRPr="00000000">
        <w:rPr>
          <w:rFonts w:ascii="Century Gothic" w:cs="Century Gothic" w:eastAsia="Century Gothic" w:hAnsi="Century Gothic"/>
          <w:rtl w:val="0"/>
        </w:rPr>
        <w:t xml:space="preserve">Historical Security Council (HSC)</w:t>
      </w:r>
      <w:r w:rsidDel="00000000" w:rsidR="00000000" w:rsidRPr="00000000">
        <w:rPr>
          <w:rtl w:val="0"/>
        </w:rPr>
      </w:r>
    </w:p>
    <w:p w:rsidR="00000000" w:rsidDel="00000000" w:rsidP="00000000" w:rsidRDefault="00000000" w:rsidRPr="00000000" w14:paraId="00000002">
      <w:pPr>
        <w:widowControl w:val="0"/>
        <w:spacing w:line="360" w:lineRule="auto"/>
        <w:ind w:left="1170"/>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Issue #1: </w:t>
      </w:r>
      <w:r w:rsidDel="00000000" w:rsidR="00000000" w:rsidRPr="00000000">
        <w:rPr>
          <w:rFonts w:ascii="Century Gothic" w:cs="Century Gothic" w:eastAsia="Century Gothic" w:hAnsi="Century Gothic"/>
          <w:rtl w:val="0"/>
        </w:rPr>
        <w:t xml:space="preserve">Measures to address the Suez Canal crisis of 1956 and its impact on state accountability and international unity.</w:t>
      </w:r>
    </w:p>
    <w:p w:rsidR="00000000" w:rsidDel="00000000" w:rsidP="00000000" w:rsidRDefault="00000000" w:rsidRPr="00000000" w14:paraId="00000003">
      <w:pPr>
        <w:widowControl w:val="0"/>
        <w:spacing w:line="360" w:lineRule="auto"/>
        <w:ind w:left="2160"/>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Student Officers:</w:t>
      </w:r>
      <w:r w:rsidDel="00000000" w:rsidR="00000000" w:rsidRPr="00000000">
        <w:rPr>
          <w:rFonts w:ascii="Century Gothic" w:cs="Century Gothic" w:eastAsia="Century Gothic" w:hAnsi="Century Gothic"/>
          <w:rtl w:val="0"/>
        </w:rPr>
        <w:t xml:space="preserve"> Christina Dai and Oriana Rodriguez</w:t>
      </w:r>
    </w:p>
    <w:p w:rsidR="00000000" w:rsidDel="00000000" w:rsidP="00000000" w:rsidRDefault="00000000" w:rsidRPr="00000000" w14:paraId="00000004">
      <w:pPr>
        <w:widowControl w:val="0"/>
        <w:spacing w:line="360" w:lineRule="auto"/>
        <w:ind w:left="2160"/>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Position:</w:t>
      </w: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rtl w:val="0"/>
        </w:rPr>
        <w:t xml:space="preserve">Chair of the </w:t>
      </w:r>
      <w:r w:rsidDel="00000000" w:rsidR="00000000" w:rsidRPr="00000000">
        <w:rPr>
          <w:rFonts w:ascii="Century Gothic" w:cs="Century Gothic" w:eastAsia="Century Gothic" w:hAnsi="Century Gothic"/>
          <w:rtl w:val="0"/>
        </w:rPr>
        <w:t xml:space="preserve">Historical Security Council </w:t>
      </w:r>
    </w:p>
    <w:p w:rsidR="00000000" w:rsidDel="00000000" w:rsidP="00000000" w:rsidRDefault="00000000" w:rsidRPr="00000000" w14:paraId="00000005">
      <w:pPr>
        <w:widowControl w:val="0"/>
        <w:spacing w:line="360" w:lineRule="auto"/>
        <w:ind w:left="2160"/>
        <w:jc w:val="both"/>
        <w:rPr>
          <w:rFonts w:ascii="Century Gothic" w:cs="Century Gothic" w:eastAsia="Century Gothic" w:hAnsi="Century Gothic"/>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widowControl w:val="0"/>
        <w:spacing w:line="360" w:lineRule="auto"/>
        <w:ind w:left="216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Throughout the conference, delegates in the Historical Security Council are expected to debate as if the date were 31, October,1956</w:t>
      </w:r>
    </w:p>
    <w:p w:rsidR="00000000" w:rsidDel="00000000" w:rsidP="00000000" w:rsidRDefault="00000000" w:rsidRPr="00000000" w14:paraId="00000007">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color w:val="0000ff"/>
        </w:rPr>
        <w:drawing>
          <wp:inline distB="114300" distT="114300" distL="114300" distR="114300">
            <wp:extent cx="5943600" cy="42037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43600" cy="4203700"/>
                    </a:xfrm>
                    <a:prstGeom prst="rect"/>
                    <a:ln/>
                  </pic:spPr>
                </pic:pic>
              </a:graphicData>
            </a:graphic>
          </wp:inline>
        </w:drawing>
      </w:r>
      <w:r w:rsidDel="00000000" w:rsidR="00000000" w:rsidRPr="00000000">
        <w:rPr>
          <w:rFonts w:ascii="Century Gothic" w:cs="Century Gothic" w:eastAsia="Century Gothic" w:hAnsi="Century Gothic"/>
          <w:rtl w:val="0"/>
        </w:rPr>
        <w:t xml:space="preserve">San Diego Union-Tribune. “AP WAS THERE: Egyptian President Nationalizes the Suez Canal.” San Diego Union-Tribune, 5 Aug. 2015, https://www.sandiegouniontribune.com/2015/08/05/ap-was-there-egyptian-president-nationalizes-the-suez-canal/. Accessed 27 Apr. 2026.</w:t>
      </w:r>
    </w:p>
    <w:p w:rsidR="00000000" w:rsidDel="00000000" w:rsidP="00000000" w:rsidRDefault="00000000" w:rsidRPr="00000000" w14:paraId="00000008">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t>
      </w:r>
    </w:p>
    <w:p w:rsidR="00000000" w:rsidDel="00000000" w:rsidP="00000000" w:rsidRDefault="00000000" w:rsidRPr="00000000" w14:paraId="00000009">
      <w:pPr>
        <w:widowControl w:val="0"/>
        <w:spacing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0A">
      <w:pPr>
        <w:widowControl w:val="0"/>
        <w:spacing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0B">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color w:val="0000ff"/>
          <w:rtl w:val="0"/>
        </w:rPr>
        <w:t xml:space="preserve">Introduction</w:t>
      </w:r>
      <w:r w:rsidDel="00000000" w:rsidR="00000000" w:rsidRPr="00000000">
        <w:rPr>
          <w:rtl w:val="0"/>
        </w:rPr>
      </w:r>
    </w:p>
    <w:p w:rsidR="00000000" w:rsidDel="00000000" w:rsidP="00000000" w:rsidRDefault="00000000" w:rsidRPr="00000000" w14:paraId="0000000C">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issue of state accountability and international unity, especially during times of crisis, is essential to maintaining international peace. The conflict over the Suez Canal in 1956 is an example of this, as it had the potential to spark World War III. The highlighted consequences of this conflict were the destabilization of the Middle East and significant shifts in the traditional hierarchy of global powers once the conflict ended. The Suez Canal, strategically located in the Middle East, connecting the Mediterranean Sea to the Red Sea, saves around 9,000 km in travel distance by avoiding a trip through Africa. (LegalClarity). While the Suez Canal Company was in Egypt, it was a British-French enterprise under a 99-year concession contract that was due to expire in 1968. (Suez Canal). However, President Gamal Abdel Nasser’s decision to nationalize the company 12 years earlier sparked international debate over its legality (Luis). In reaction, Britain, Israel, and France sought to regain control of the Canal.</w:t>
      </w:r>
    </w:p>
    <w:p w:rsidR="00000000" w:rsidDel="00000000" w:rsidP="00000000" w:rsidRDefault="00000000" w:rsidRPr="00000000" w14:paraId="0000000D">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E">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This issue remains controversial because the Suez Canal Company maintained its headquarters in France, abided by Egyptian law, yet was governed by European interests. Eventually, the international community recognized that it had the right to nationalize companies within its own country and that such nationalizations did not violate international law. However, the way the conflict was managed still remains controversial; it marked a major turning point in the Cold War, as the USSR and the USA worked together to secure a ceasefire. The significance of analyzing this issue is to understand how diplomatic and international conflicts develop and to better resolve them in the future. If a state cannot be held accountable for its own military actions, the result would be international warfare chaos. </w:t>
      </w:r>
      <w:r w:rsidDel="00000000" w:rsidR="00000000" w:rsidRPr="00000000">
        <w:rPr>
          <w:rtl w:val="0"/>
        </w:rPr>
      </w:r>
    </w:p>
    <w:p w:rsidR="00000000" w:rsidDel="00000000" w:rsidP="00000000" w:rsidRDefault="00000000" w:rsidRPr="00000000" w14:paraId="0000000F">
      <w:pPr>
        <w:spacing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10">
      <w:pPr>
        <w:spacing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11">
      <w:pPr>
        <w:spacing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Definition of Key Terms</w:t>
      </w:r>
    </w:p>
    <w:p w:rsidR="00000000" w:rsidDel="00000000" w:rsidP="00000000" w:rsidRDefault="00000000" w:rsidRPr="00000000" w14:paraId="00000012">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United Nations Emergency Force (UNEF)</w:t>
      </w:r>
      <w:r w:rsidDel="00000000" w:rsidR="00000000" w:rsidRPr="00000000">
        <w:rPr>
          <w:rFonts w:ascii="Century Gothic" w:cs="Century Gothic" w:eastAsia="Century Gothic" w:hAnsi="Century Gothic"/>
          <w:rtl w:val="0"/>
        </w:rPr>
        <w:t xml:space="preserve">: The first United Nations Peacekeeping force created after British and French military intervention in Egypt (“Stories from the UN Archive: UN’s First Peacekeeping Force | Naciones Unidas”)</w:t>
      </w:r>
    </w:p>
    <w:p w:rsidR="00000000" w:rsidDel="00000000" w:rsidP="00000000" w:rsidRDefault="00000000" w:rsidRPr="00000000" w14:paraId="00000013">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4">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Sèvres Protocol</w:t>
      </w:r>
      <w:r w:rsidDel="00000000" w:rsidR="00000000" w:rsidRPr="00000000">
        <w:rPr>
          <w:rFonts w:ascii="Century Gothic" w:cs="Century Gothic" w:eastAsia="Century Gothic" w:hAnsi="Century Gothic"/>
          <w:rtl w:val="0"/>
        </w:rPr>
        <w:t xml:space="preserve">: The alliance between Britain, France, and Israel, and the foundation for tripartite aggression (Avi Shlaim)</w:t>
      </w:r>
    </w:p>
    <w:p w:rsidR="00000000" w:rsidDel="00000000" w:rsidP="00000000" w:rsidRDefault="00000000" w:rsidRPr="00000000" w14:paraId="00000015">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6">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Nationalization</w:t>
      </w: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color w:val="1d2a57"/>
          <w:rtl w:val="0"/>
        </w:rPr>
        <w:t xml:space="preserve">the </w:t>
      </w:r>
      <w:hyperlink r:id="rId8">
        <w:r w:rsidDel="00000000" w:rsidR="00000000" w:rsidRPr="00000000">
          <w:rPr>
            <w:rFonts w:ascii="Century Gothic" w:cs="Century Gothic" w:eastAsia="Century Gothic" w:hAnsi="Century Gothic"/>
            <w:color w:val="1d2a57"/>
            <w:rtl w:val="0"/>
          </w:rPr>
          <w:t xml:space="preserve">process</w:t>
        </w:r>
      </w:hyperlink>
      <w:r w:rsidDel="00000000" w:rsidR="00000000" w:rsidRPr="00000000">
        <w:rPr>
          <w:rFonts w:ascii="Century Gothic" w:cs="Century Gothic" w:eastAsia="Century Gothic" w:hAnsi="Century Gothic"/>
          <w:color w:val="1d2a57"/>
          <w:rtl w:val="0"/>
        </w:rPr>
        <w:t xml:space="preserve"> of a </w:t>
      </w:r>
      <w:hyperlink r:id="rId9">
        <w:r w:rsidDel="00000000" w:rsidR="00000000" w:rsidRPr="00000000">
          <w:rPr>
            <w:rFonts w:ascii="Century Gothic" w:cs="Century Gothic" w:eastAsia="Century Gothic" w:hAnsi="Century Gothic"/>
            <w:color w:val="1d2a57"/>
            <w:rtl w:val="0"/>
          </w:rPr>
          <w:t xml:space="preserve">government</w:t>
        </w:r>
      </w:hyperlink>
      <w:r w:rsidDel="00000000" w:rsidR="00000000" w:rsidRPr="00000000">
        <w:rPr>
          <w:rFonts w:ascii="Century Gothic" w:cs="Century Gothic" w:eastAsia="Century Gothic" w:hAnsi="Century Gothic"/>
          <w:color w:val="1d2a57"/>
          <w:rtl w:val="0"/>
        </w:rPr>
        <w:t xml:space="preserve"> taking </w:t>
      </w:r>
      <w:hyperlink r:id="rId10">
        <w:r w:rsidDel="00000000" w:rsidR="00000000" w:rsidRPr="00000000">
          <w:rPr>
            <w:rFonts w:ascii="Century Gothic" w:cs="Century Gothic" w:eastAsia="Century Gothic" w:hAnsi="Century Gothic"/>
            <w:color w:val="1d2a57"/>
            <w:rtl w:val="0"/>
          </w:rPr>
          <w:t xml:space="preserve">control</w:t>
        </w:r>
      </w:hyperlink>
      <w:r w:rsidDel="00000000" w:rsidR="00000000" w:rsidRPr="00000000">
        <w:rPr>
          <w:rFonts w:ascii="Century Gothic" w:cs="Century Gothic" w:eastAsia="Century Gothic" w:hAnsi="Century Gothic"/>
          <w:color w:val="1d2a57"/>
          <w:rtl w:val="0"/>
        </w:rPr>
        <w:t xml:space="preserve"> of a </w:t>
      </w:r>
      <w:hyperlink r:id="rId11">
        <w:r w:rsidDel="00000000" w:rsidR="00000000" w:rsidRPr="00000000">
          <w:rPr>
            <w:rFonts w:ascii="Century Gothic" w:cs="Century Gothic" w:eastAsia="Century Gothic" w:hAnsi="Century Gothic"/>
            <w:color w:val="1d2a57"/>
            <w:rtl w:val="0"/>
          </w:rPr>
          <w:t xml:space="preserve">business</w:t>
        </w:r>
      </w:hyperlink>
      <w:r w:rsidDel="00000000" w:rsidR="00000000" w:rsidRPr="00000000">
        <w:rPr>
          <w:rFonts w:ascii="Century Gothic" w:cs="Century Gothic" w:eastAsia="Century Gothic" w:hAnsi="Century Gothic"/>
          <w:color w:val="1d2a57"/>
          <w:rtl w:val="0"/>
        </w:rPr>
        <w:t xml:space="preserve"> or </w:t>
      </w:r>
      <w:hyperlink r:id="rId12">
        <w:r w:rsidDel="00000000" w:rsidR="00000000" w:rsidRPr="00000000">
          <w:rPr>
            <w:rFonts w:ascii="Century Gothic" w:cs="Century Gothic" w:eastAsia="Century Gothic" w:hAnsi="Century Gothic"/>
            <w:color w:val="1d2a57"/>
            <w:rtl w:val="0"/>
          </w:rPr>
          <w:t xml:space="preserve">industry</w:t>
        </w:r>
      </w:hyperlink>
      <w:r w:rsidDel="00000000" w:rsidR="00000000" w:rsidRPr="00000000">
        <w:rPr>
          <w:rFonts w:ascii="Century Gothic" w:cs="Century Gothic" w:eastAsia="Century Gothic" w:hAnsi="Century Gothic"/>
          <w:rtl w:val="0"/>
        </w:rPr>
        <w:t xml:space="preserve"> (Cambridge Dictionary)</w:t>
      </w:r>
    </w:p>
    <w:p w:rsidR="00000000" w:rsidDel="00000000" w:rsidP="00000000" w:rsidRDefault="00000000" w:rsidRPr="00000000" w14:paraId="00000017">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8">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Suez Canal User’s Association (SCUA)</w:t>
      </w:r>
      <w:r w:rsidDel="00000000" w:rsidR="00000000" w:rsidRPr="00000000">
        <w:rPr>
          <w:rFonts w:ascii="Century Gothic" w:cs="Century Gothic" w:eastAsia="Century Gothic" w:hAnsi="Century Gothic"/>
          <w:rtl w:val="0"/>
        </w:rPr>
        <w:t xml:space="preserve">: An organization proposed by the United States to ensure the international management of the canal instead of sole power for Egypt. (“Historical Documents - Office of the Historian”)</w:t>
      </w:r>
    </w:p>
    <w:p w:rsidR="00000000" w:rsidDel="00000000" w:rsidP="00000000" w:rsidRDefault="00000000" w:rsidRPr="00000000" w14:paraId="00000019">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A">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Sovereignty</w:t>
      </w: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color w:val="1f1f1f"/>
          <w:shd w:fill="f0f0f0" w:val="clear"/>
          <w:rtl w:val="0"/>
        </w:rPr>
        <w:t xml:space="preserve">t</w:t>
      </w:r>
      <w:r w:rsidDel="00000000" w:rsidR="00000000" w:rsidRPr="00000000">
        <w:rPr>
          <w:rFonts w:ascii="Century Gothic" w:cs="Century Gothic" w:eastAsia="Century Gothic" w:hAnsi="Century Gothic"/>
          <w:color w:val="1f1f1f"/>
          <w:rtl w:val="0"/>
        </w:rPr>
        <w:t xml:space="preserve">he autonomy of a state to govern itself, characterized by its independence from foreign authority and the right to determine its own political order. </w:t>
      </w:r>
      <w:r w:rsidDel="00000000" w:rsidR="00000000" w:rsidRPr="00000000">
        <w:rPr>
          <w:rFonts w:ascii="Century Gothic" w:cs="Century Gothic" w:eastAsia="Century Gothic" w:hAnsi="Century Gothic"/>
          <w:highlight w:val="white"/>
          <w:rtl w:val="0"/>
        </w:rPr>
        <w:t xml:space="preserve">(Krasner)</w:t>
      </w:r>
      <w:r w:rsidDel="00000000" w:rsidR="00000000" w:rsidRPr="00000000">
        <w:rPr>
          <w:rtl w:val="0"/>
        </w:rPr>
      </w:r>
    </w:p>
    <w:p w:rsidR="00000000" w:rsidDel="00000000" w:rsidP="00000000" w:rsidRDefault="00000000" w:rsidRPr="00000000" w14:paraId="0000001B">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C">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Ceasefire</w:t>
      </w: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color w:val="1d2a57"/>
          <w:rtl w:val="0"/>
        </w:rPr>
        <w:t xml:space="preserve">an </w:t>
      </w:r>
      <w:hyperlink r:id="rId13">
        <w:r w:rsidDel="00000000" w:rsidR="00000000" w:rsidRPr="00000000">
          <w:rPr>
            <w:rFonts w:ascii="Century Gothic" w:cs="Century Gothic" w:eastAsia="Century Gothic" w:hAnsi="Century Gothic"/>
            <w:color w:val="1d2a57"/>
            <w:rtl w:val="0"/>
          </w:rPr>
          <w:t xml:space="preserve">agreement</w:t>
        </w:r>
      </w:hyperlink>
      <w:r w:rsidDel="00000000" w:rsidR="00000000" w:rsidRPr="00000000">
        <w:rPr>
          <w:rFonts w:ascii="Century Gothic" w:cs="Century Gothic" w:eastAsia="Century Gothic" w:hAnsi="Century Gothic"/>
          <w:color w:val="1d2a57"/>
          <w:rtl w:val="0"/>
        </w:rPr>
        <w:t xml:space="preserve">, usually between two </w:t>
      </w:r>
      <w:hyperlink r:id="rId14">
        <w:r w:rsidDel="00000000" w:rsidR="00000000" w:rsidRPr="00000000">
          <w:rPr>
            <w:rFonts w:ascii="Century Gothic" w:cs="Century Gothic" w:eastAsia="Century Gothic" w:hAnsi="Century Gothic"/>
            <w:color w:val="1d2a57"/>
            <w:rtl w:val="0"/>
          </w:rPr>
          <w:t xml:space="preserve">armies</w:t>
        </w:r>
      </w:hyperlink>
      <w:r w:rsidDel="00000000" w:rsidR="00000000" w:rsidRPr="00000000">
        <w:rPr>
          <w:rFonts w:ascii="Century Gothic" w:cs="Century Gothic" w:eastAsia="Century Gothic" w:hAnsi="Century Gothic"/>
          <w:color w:val="1d2a57"/>
          <w:rtl w:val="0"/>
        </w:rPr>
        <w:t xml:space="preserve">, to </w:t>
      </w:r>
      <w:hyperlink r:id="rId15">
        <w:r w:rsidDel="00000000" w:rsidR="00000000" w:rsidRPr="00000000">
          <w:rPr>
            <w:rFonts w:ascii="Century Gothic" w:cs="Century Gothic" w:eastAsia="Century Gothic" w:hAnsi="Century Gothic"/>
            <w:color w:val="1d2a57"/>
            <w:rtl w:val="0"/>
          </w:rPr>
          <w:t xml:space="preserve">stop</w:t>
        </w:r>
      </w:hyperlink>
      <w:r w:rsidDel="00000000" w:rsidR="00000000" w:rsidRPr="00000000">
        <w:rPr>
          <w:rFonts w:ascii="Century Gothic" w:cs="Century Gothic" w:eastAsia="Century Gothic" w:hAnsi="Century Gothic"/>
          <w:color w:val="1d2a57"/>
          <w:rtl w:val="0"/>
        </w:rPr>
        <w:t xml:space="preserve"> </w:t>
      </w:r>
      <w:hyperlink r:id="rId16">
        <w:r w:rsidDel="00000000" w:rsidR="00000000" w:rsidRPr="00000000">
          <w:rPr>
            <w:rFonts w:ascii="Century Gothic" w:cs="Century Gothic" w:eastAsia="Century Gothic" w:hAnsi="Century Gothic"/>
            <w:color w:val="1d2a57"/>
            <w:rtl w:val="0"/>
          </w:rPr>
          <w:t xml:space="preserve">fighting</w:t>
        </w:r>
      </w:hyperlink>
      <w:r w:rsidDel="00000000" w:rsidR="00000000" w:rsidRPr="00000000">
        <w:rPr>
          <w:rFonts w:ascii="Century Gothic" w:cs="Century Gothic" w:eastAsia="Century Gothic" w:hAnsi="Century Gothic"/>
          <w:color w:val="1d2a57"/>
          <w:rtl w:val="0"/>
        </w:rPr>
        <w:t xml:space="preserve"> to </w:t>
      </w:r>
      <w:hyperlink r:id="rId17">
        <w:r w:rsidDel="00000000" w:rsidR="00000000" w:rsidRPr="00000000">
          <w:rPr>
            <w:rFonts w:ascii="Century Gothic" w:cs="Century Gothic" w:eastAsia="Century Gothic" w:hAnsi="Century Gothic"/>
            <w:color w:val="1d2a57"/>
            <w:rtl w:val="0"/>
          </w:rPr>
          <w:t xml:space="preserve">allow</w:t>
        </w:r>
      </w:hyperlink>
      <w:r w:rsidDel="00000000" w:rsidR="00000000" w:rsidRPr="00000000">
        <w:rPr>
          <w:rFonts w:ascii="Century Gothic" w:cs="Century Gothic" w:eastAsia="Century Gothic" w:hAnsi="Century Gothic"/>
          <w:color w:val="1d2a57"/>
          <w:rtl w:val="0"/>
        </w:rPr>
        <w:t xml:space="preserve"> </w:t>
      </w:r>
      <w:hyperlink r:id="rId18">
        <w:r w:rsidDel="00000000" w:rsidR="00000000" w:rsidRPr="00000000">
          <w:rPr>
            <w:rFonts w:ascii="Century Gothic" w:cs="Century Gothic" w:eastAsia="Century Gothic" w:hAnsi="Century Gothic"/>
            <w:color w:val="1d2a57"/>
            <w:rtl w:val="0"/>
          </w:rPr>
          <w:t xml:space="preserve">discussions</w:t>
        </w:r>
      </w:hyperlink>
      <w:r w:rsidDel="00000000" w:rsidR="00000000" w:rsidRPr="00000000">
        <w:rPr>
          <w:rFonts w:ascii="Century Gothic" w:cs="Century Gothic" w:eastAsia="Century Gothic" w:hAnsi="Century Gothic"/>
          <w:color w:val="1d2a57"/>
          <w:rtl w:val="0"/>
        </w:rPr>
        <w:t xml:space="preserve"> about peace (Cambridge</w:t>
      </w:r>
      <w:r w:rsidDel="00000000" w:rsidR="00000000" w:rsidRPr="00000000">
        <w:rPr>
          <w:rFonts w:ascii="Century Gothic" w:cs="Century Gothic" w:eastAsia="Century Gothic" w:hAnsi="Century Gothic"/>
          <w:highlight w:val="white"/>
          <w:rtl w:val="0"/>
        </w:rPr>
        <w:t xml:space="preserve"> Dictionary)</w:t>
      </w:r>
      <w:r w:rsidDel="00000000" w:rsidR="00000000" w:rsidRPr="00000000">
        <w:rPr>
          <w:rFonts w:ascii="Century Gothic" w:cs="Century Gothic" w:eastAsia="Century Gothic" w:hAnsi="Century Gothic"/>
          <w:rtl w:val="0"/>
        </w:rPr>
        <w:br w:type="textWrapping"/>
      </w:r>
    </w:p>
    <w:p w:rsidR="00000000" w:rsidDel="00000000" w:rsidP="00000000" w:rsidRDefault="00000000" w:rsidRPr="00000000" w14:paraId="0000001D">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Constantinople Convention (1888)</w:t>
      </w:r>
      <w:r w:rsidDel="00000000" w:rsidR="00000000" w:rsidRPr="00000000">
        <w:rPr>
          <w:rFonts w:ascii="Century Gothic" w:cs="Century Gothic" w:eastAsia="Century Gothic" w:hAnsi="Century Gothic"/>
          <w:rtl w:val="0"/>
        </w:rPr>
        <w:t xml:space="preserve">: a treaty agreeing to the free passage of ships through the Suez Canal during war and peace. (“SCA - Constantinople Convention”)</w:t>
      </w:r>
    </w:p>
    <w:p w:rsidR="00000000" w:rsidDel="00000000" w:rsidP="00000000" w:rsidRDefault="00000000" w:rsidRPr="00000000" w14:paraId="0000001E">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F">
      <w:pPr>
        <w:widowControl w:val="0"/>
        <w:spacing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rtl w:val="0"/>
        </w:rPr>
        <w:t xml:space="preserve">Operation Musketeer</w:t>
      </w:r>
      <w:r w:rsidDel="00000000" w:rsidR="00000000" w:rsidRPr="00000000">
        <w:rPr>
          <w:rFonts w:ascii="Century Gothic" w:cs="Century Gothic" w:eastAsia="Century Gothic" w:hAnsi="Century Gothic"/>
          <w:rtl w:val="0"/>
        </w:rPr>
        <w:t xml:space="preserve">: Official codename for the Anglo-French plan to invade Port Said (“Suez Crisis | National Army Museum”)</w:t>
      </w:r>
      <w:r w:rsidDel="00000000" w:rsidR="00000000" w:rsidRPr="00000000">
        <w:rPr>
          <w:rtl w:val="0"/>
        </w:rPr>
      </w:r>
    </w:p>
    <w:p w:rsidR="00000000" w:rsidDel="00000000" w:rsidP="00000000" w:rsidRDefault="00000000" w:rsidRPr="00000000" w14:paraId="00000020">
      <w:pPr>
        <w:widowControl w:val="0"/>
        <w:spacing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21">
      <w:pPr>
        <w:widowControl w:val="0"/>
        <w:spacing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22">
      <w:pPr>
        <w:widowControl w:val="0"/>
        <w:spacing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General Overview</w:t>
      </w:r>
      <w:r w:rsidDel="00000000" w:rsidR="00000000" w:rsidRPr="00000000">
        <w:rPr>
          <w:rtl w:val="0"/>
        </w:rPr>
      </w:r>
    </w:p>
    <w:p w:rsidR="00000000" w:rsidDel="00000000" w:rsidP="00000000" w:rsidRDefault="00000000" w:rsidRPr="00000000" w14:paraId="00000023">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The Main Idea </w:t>
      </w:r>
    </w:p>
    <w:p w:rsidR="00000000" w:rsidDel="00000000" w:rsidP="00000000" w:rsidRDefault="00000000" w:rsidRPr="00000000" w14:paraId="00000024">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At its core, the Suez Canal crisis started as a local dispute over trade and maritime arteries. However, it quickly became an international crisis full of contradictory national interests. Egypt wanted a stable economy for its future and was willing to utilize its powers to do so. The United Kingdom and France wanted to ensure economic stability and maintain the waterway's public. Eventually, this crisis led to the creation of many diplomatic approaches, but would ultimately end in military interventions and unforeseen alliances. The United Nations Emergency Force, created especially for this crisis, witnessed the eventual withdrawal of the United Kingdom, France, and Israel. Meanwhile, the United States and the Soviet Union utilized the conflict to protect strategic interests and assert dominance over the diminishing European colonial powers.</w:t>
      </w:r>
    </w:p>
    <w:p w:rsidR="00000000" w:rsidDel="00000000" w:rsidP="00000000" w:rsidRDefault="00000000" w:rsidRPr="00000000" w14:paraId="00000025">
      <w:pPr>
        <w:spacing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26">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Nationalization and the Aswan High Dam</w:t>
      </w:r>
    </w:p>
    <w:p w:rsidR="00000000" w:rsidDel="00000000" w:rsidP="00000000" w:rsidRDefault="00000000" w:rsidRPr="00000000" w14:paraId="00000027">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Suez Canal crisis refers to the conflicts triggered by the Egyptian nationalization of the Suez Canal. President Gamal Abdel Nasser made this choice as a direct response to the earlier decision made by the Americans and British not to fund the Aswan High Dam, a key aspect of Nasser’s plan for Egypt's economic future (“SCA – Canal History”)</w:t>
      </w:r>
      <w:r w:rsidDel="00000000" w:rsidR="00000000" w:rsidRPr="00000000">
        <w:rPr>
          <w:rFonts w:ascii="Century Gothic" w:cs="Century Gothic" w:eastAsia="Century Gothic" w:hAnsi="Century Gothic"/>
          <w:sz w:val="24"/>
          <w:szCs w:val="24"/>
          <w:rtl w:val="0"/>
        </w:rPr>
        <w:t xml:space="preserve">. </w:t>
      </w:r>
      <w:r w:rsidDel="00000000" w:rsidR="00000000" w:rsidRPr="00000000">
        <w:rPr>
          <w:rFonts w:ascii="Century Gothic" w:cs="Century Gothic" w:eastAsia="Century Gothic" w:hAnsi="Century Gothic"/>
          <w:rtl w:val="0"/>
        </w:rPr>
        <w:t xml:space="preserve">The canal was a vital waterway for Western oil shipments. By seizing it, Nasser hoped to utilize the transit tolls to pay for the dam himself. Many countries, along with the United Kingdom and France, saw this move as an active threat to economic security and a breach of Western control on global trade. </w:t>
      </w:r>
    </w:p>
    <w:p w:rsidR="00000000" w:rsidDel="00000000" w:rsidP="00000000" w:rsidRDefault="00000000" w:rsidRPr="00000000" w14:paraId="00000028">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9">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Tripartite aggression</w:t>
      </w:r>
    </w:p>
    <w:p w:rsidR="00000000" w:rsidDel="00000000" w:rsidP="00000000" w:rsidRDefault="00000000" w:rsidRPr="00000000" w14:paraId="0000002A">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After many failed diplomatic attempts to solve this issue, the United Kingdom and France, along with the help of Israel, decided to launch the Sèvres Protocol. Under this plan, the Israelis agreed to a large-scale military operation against Egyptian forces in the Sinai Peninsula. As hostility sparked, it created a pretext for Britain and France to issue an ultimatum to Israel and Egypt. This ultimatum required both forces to stop all acts of war and withdraw their troops from the Suez Canal. However, this plan also required Egypt to allow British and French troops to occupy areas along the canal so safe passage through the waterway could be guaranteed. For Egypt, this ultimatum was an impossible demand, specifically designed to be rejected. If Egypt failed to comply, Britain and France would launch military operations and seize control of the Canal, quickly turning the issue into an international war (Avi</w:t>
      </w:r>
      <w:r w:rsidDel="00000000" w:rsidR="00000000" w:rsidRPr="00000000">
        <w:rPr>
          <w:rFonts w:ascii="Century Gothic" w:cs="Century Gothic" w:eastAsia="Century Gothic" w:hAnsi="Century Gothic"/>
          <w:sz w:val="24"/>
          <w:szCs w:val="24"/>
          <w:rtl w:val="0"/>
        </w:rPr>
        <w:t xml:space="preserve"> Shlaim).</w:t>
      </w:r>
      <w:r w:rsidDel="00000000" w:rsidR="00000000" w:rsidRPr="00000000">
        <w:rPr>
          <w:rtl w:val="0"/>
        </w:rPr>
      </w:r>
    </w:p>
    <w:p w:rsidR="00000000" w:rsidDel="00000000" w:rsidP="00000000" w:rsidRDefault="00000000" w:rsidRPr="00000000" w14:paraId="0000002B">
      <w:pPr>
        <w:spacing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2C">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State Accountability and Ceasefire</w:t>
      </w:r>
    </w:p>
    <w:p w:rsidR="00000000" w:rsidDel="00000000" w:rsidP="00000000" w:rsidRDefault="00000000" w:rsidRPr="00000000" w14:paraId="0000002D">
      <w:pPr>
        <w:spacing w:line="360"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Even after their successful military intervention in Port Said, the United Kingdom was ultimately pressured into accepting a ceasefire. The United States and the Soviet Union, both major powers in the Cold War, were looking to protect their own strategic interests. The United States, fearing that the invasion would drive the Middle East towards Soviet influence, put massive economic pressure upon the United Kingdom by threatening to collapse the British Pound. On the other hand, the Soviet Union placed itself in a position of defending Egypt’s sovereignty, placing nuclear threats on European states. France, being left alone by its ally, was also forced to agree to the cease-fire. All this led to the creation of the first United Nations peacekeeping force. The United Nations Emergency Force (UNEF) ensured that the British, Israelis, and French withdrew from Egyptian territory and made sure that neither side violated any terms set by the cease-fire (“Milestones in the History of U.S. Foreign Relations - Office of the Historian”).</w:t>
      </w:r>
      <w:r w:rsidDel="00000000" w:rsidR="00000000" w:rsidRPr="00000000">
        <w:rPr>
          <w:rtl w:val="0"/>
        </w:rPr>
      </w:r>
    </w:p>
    <w:p w:rsidR="00000000" w:rsidDel="00000000" w:rsidP="00000000" w:rsidRDefault="00000000" w:rsidRPr="00000000" w14:paraId="0000002E">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F">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0">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color w:val="0000ff"/>
          <w:rtl w:val="0"/>
        </w:rPr>
        <w:t xml:space="preserve">Major Parties Involved and Their Views</w:t>
      </w:r>
      <w:r w:rsidDel="00000000" w:rsidR="00000000" w:rsidRPr="00000000">
        <w:rPr>
          <w:rtl w:val="0"/>
        </w:rPr>
      </w:r>
    </w:p>
    <w:p w:rsidR="00000000" w:rsidDel="00000000" w:rsidP="00000000" w:rsidRDefault="00000000" w:rsidRPr="00000000" w14:paraId="00000031">
      <w:pPr>
        <w:spacing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32">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The Suez Canal Company</w:t>
      </w:r>
      <w:r w:rsidDel="00000000" w:rsidR="00000000" w:rsidRPr="00000000">
        <w:rPr>
          <w:rtl w:val="0"/>
        </w:rPr>
      </w:r>
    </w:p>
    <w:p w:rsidR="00000000" w:rsidDel="00000000" w:rsidP="00000000" w:rsidRDefault="00000000" w:rsidRPr="00000000" w14:paraId="00000033">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Suez Canal Company was a central catalyst and primary legal actor in this conflict. The joint British and French enterprise, which had owned and operated the Suez Canal since its construction in 1869, was nationalized on July 26, 1956, by the Egyptian president Gamal Abdel Nasser. (“Milestones in the History of U.S. Foreign Relations - Office of the Historian”). The idea of the canal as a whole originated with the Egyptian Pharaoh Senusert III of the Twelfth Dynasty. However, the company was established by Ferdinand de Lesseps, a French founder, who was granted oversight by the First Concession, which also stated that the company's president would be appointed by the Egyptian government. However, the company was supposed to be returned to Egypt 99 years later (i.e., in 1968) under the same concession.  In addition, it stated that the Egyptian government would receive 15% of the Company's net profit. Once the company and canal went live in 1858, Egypt had 177642 shares, around half the company's capital. Due to the company's near-bankruptcy in 1875, they took extreme measures, including waiving their 15% annual profit. In 1875, the British bought 44% of the total shares, and the French held the remaining 56%. However, it was still under Egyptian law, with its headquarters in France. This is why, in 1956, when the president delivered his speech announcing the nationalization, he made clear that he would compensate all stakeholders in their companies. (“SCA - Canal History”)</w:t>
      </w:r>
    </w:p>
    <w:p w:rsidR="00000000" w:rsidDel="00000000" w:rsidP="00000000" w:rsidRDefault="00000000" w:rsidRPr="00000000" w14:paraId="00000034">
      <w:pPr>
        <w:spacing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35">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United Kingdom (UK)</w:t>
      </w:r>
    </w:p>
    <w:p w:rsidR="00000000" w:rsidDel="00000000" w:rsidP="00000000" w:rsidRDefault="00000000" w:rsidRPr="00000000" w14:paraId="00000036">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United Kingdom was one of the central actors in this conflict. The countries that attacked Egypt and formed an alliance against Nasser's nationalization were Israel, France, and Britain. In 1954, Britain agreed to evacuate its military garrison in Egypt's Suez Canal Zone, subject to the condition that the company would not transfer to the Egyptian government until 1968. The UK was determined to maintain control of this Canal, as 60% of the oil that supported the UK economy arrived through it. They were the canal's primary traffic. (Pittsburg State University) As well as the 44% financial stake, the idea of the near collapse of the British Empire, fearing this would create a domino effect. (BBC) Which is why the UK and France agreed that, if negotiations failed, they would overthrow Nasser. The Prime Minister of the UK at the time even went as far as to say: “ Our quarrel is not with Egypt, still less with the Arab world. It is with Colonel Nasser. He has shown that he is not a man who can be trusted to keep an agreement. ”  On July 27th, Britain began preparing invasion forces, combined with the French, totaling nearly 100,000 men. However, their resources were weak from the very start. Yet, due to their actions, the US intervened diplomatically, threatened the UK, and public opposition to the conflict led to a ceasefire in November 1956. Overall, this conflict was a massive humiliation for Britain, exposing the cracks in the UK's once-great empire.</w:t>
      </w:r>
    </w:p>
    <w:p w:rsidR="00000000" w:rsidDel="00000000" w:rsidP="00000000" w:rsidRDefault="00000000" w:rsidRPr="00000000" w14:paraId="00000037">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8">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Egypt</w:t>
      </w:r>
    </w:p>
    <w:p w:rsidR="00000000" w:rsidDel="00000000" w:rsidP="00000000" w:rsidRDefault="00000000" w:rsidRPr="00000000" w14:paraId="00000039">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 July 1956, Egyptian leader Colonel Gamal Abdel Nasser announced the nationalization of the Franco-British Suez Canal Company. This was seen as a means of funding his Aswan Dam project, a key element of Egypt's planned industrialization, which the Americans and British had refused to back up. The Egyptians believed that in just five years, the tolls collected from ships passing through the Suez Canal would pay for the dam’s construction. (Britannica) Once this announcement was made, Israel, Britain, and France all went against this idea and started to invade Egypt. Although Egypt suffered a military defeat when Israeli forces controlled Sinai and the British-French forces seized Port Said, Nasser won a massive political and diplomatic victory. The arab nations, the Soviet Union, and the United States all expressed sympathy for Egypt. Strategically, Egypt ordered around 40 ships to be sunk in the canal, blocking the oil supply from Europe. Therefore, it affected its invaders. Egypt had full sovereign control of the canal by the time the UN created a ceasefire in 1957. In the end, Egypt gained full autonomy over the canal.</w:t>
      </w:r>
    </w:p>
    <w:p w:rsidR="00000000" w:rsidDel="00000000" w:rsidP="00000000" w:rsidRDefault="00000000" w:rsidRPr="00000000" w14:paraId="0000003A">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B">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United States</w:t>
      </w:r>
    </w:p>
    <w:p w:rsidR="00000000" w:rsidDel="00000000" w:rsidP="00000000" w:rsidRDefault="00000000" w:rsidRPr="00000000" w14:paraId="0000003C">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United States has a surprising role in the Suez Canal conflict, especially as a peacekeeper. They were the ones who forced the ceasefire alongside the USSR. Although Nasser initially insulted the United States when announcing the Canal takeover, the hostile reactions came mainly from the European powers. The Eisenhower administration was focused on dissociating the United States from European colonialism, especially following the Soviet Union's involvement in Hungary earlier that week. This is why they pressured Britain and France to accept the United Nations ceasefire on November 6 (“Milestones in the History of U.S. Foreign Relations - Office of the Historian”). With Britain a close ally, they threatened to sell their Sterling bonds, potentially crashing the British economy. (“The Suez Crisis | Robert Menzies Institute”). However, even before this successful ceasefire, they had proposed many other solutions to stop the conflict. Such as the Menzies Mission led by Robert Menzies to try to persuade Nasser to accept international control of the canal, which was heavily rejected by him. And where many theorists theorize that Britain and France began giving up on diplomatic means. Additionally, they tried to establish a Suez Canal User Association (SCUA), in which each canal user would organize all logistics, bypassing Nasser's authority without resorting to violence. Again, the solution failed due to disagreements with the UK. Throughout all of the conflict, they were proactive in solving this issue.</w:t>
      </w:r>
    </w:p>
    <w:p w:rsidR="00000000" w:rsidDel="00000000" w:rsidP="00000000" w:rsidRDefault="00000000" w:rsidRPr="00000000" w14:paraId="0000003D">
      <w:pPr>
        <w:spacing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3E">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France </w:t>
      </w:r>
    </w:p>
    <w:p w:rsidR="00000000" w:rsidDel="00000000" w:rsidP="00000000" w:rsidRDefault="00000000" w:rsidRPr="00000000" w14:paraId="0000003F">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rtl w:val="0"/>
        </w:rPr>
        <w:t xml:space="preserve">France was also heavily involved in this conflict, as it was one of the attackers of Egypt for the ownership of the canal. Not only was the canal a French-British enterprise, but they also wanted to see the downfall of Nasser, as he was supporting rebels trying to overthrow French rule in the Algerian War. (“Suez Crisis | National Army Museum”). The French were the matchmakers in bringing Britain and Israel into a military pact where the main goal was to overthrow Gamal Abdel Nasser. This agreement is called the Protocol of Sèvres, which planned out the entire attack on Egypt. (JSOR) On October 29th, Britain, France, and Israel attacked Egypt, aimed at taking control of the Suez Canal. The French troops engaged in the Port in an operation Musketeer, which was successful. Though it was successful from a military point of view, politically, they received heavy criticism and oil embargoes from France and Britain. Especially from the United States and the Soviet Union. Ending the conflict and leaving France humbled.</w:t>
      </w:r>
      <w:r w:rsidDel="00000000" w:rsidR="00000000" w:rsidRPr="00000000">
        <w:rPr>
          <w:rtl w:val="0"/>
        </w:rPr>
      </w:r>
    </w:p>
    <w:p w:rsidR="00000000" w:rsidDel="00000000" w:rsidP="00000000" w:rsidRDefault="00000000" w:rsidRPr="00000000" w14:paraId="00000040">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1">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2">
      <w:pPr>
        <w:widowControl w:val="0"/>
        <w:spacing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Timeline of Events, Relevant Resolutions, Treaties, and Events</w:t>
      </w:r>
      <w:r w:rsidDel="00000000" w:rsidR="00000000" w:rsidRPr="00000000">
        <w:rPr>
          <w:rtl w:val="0"/>
        </w:rPr>
      </w:r>
    </w:p>
    <w:p w:rsidR="00000000" w:rsidDel="00000000" w:rsidP="00000000" w:rsidRDefault="00000000" w:rsidRPr="00000000" w14:paraId="00000043">
      <w:pPr>
        <w:spacing w:line="360" w:lineRule="auto"/>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rtl w:val="0"/>
        </w:rPr>
        <w:t xml:space="preserve">         Date</w:t>
        <w:tab/>
        <w:t xml:space="preserve">(1956)</w:t>
        <w:tab/>
        <w:t xml:space="preserve">    Description of Event </w:t>
      </w:r>
      <w:r w:rsidDel="00000000" w:rsidR="00000000" w:rsidRPr="00000000">
        <w:rPr>
          <w:rtl w:val="0"/>
        </w:rPr>
      </w:r>
    </w:p>
    <w:p w:rsidR="00000000" w:rsidDel="00000000" w:rsidP="00000000" w:rsidRDefault="00000000" w:rsidRPr="00000000" w14:paraId="00000044">
      <w:pPr>
        <w:spacing w:line="360" w:lineRule="auto"/>
        <w:jc w:val="both"/>
        <w:rPr>
          <w:rFonts w:ascii="Century Gothic" w:cs="Century Gothic" w:eastAsia="Century Gothic" w:hAnsi="Century Gothic"/>
          <w:b w:val="1"/>
          <w:bCs w:val="1"/>
        </w:rPr>
      </w:pPr>
      <w:r w:rsidDel="00000000" w:rsidR="00000000" w:rsidRPr="00000000">
        <w:rPr>
          <w:rtl w:val="0"/>
        </w:rPr>
      </w:r>
    </w:p>
    <w:tbl>
      <w:tblPr>
        <w:tblStyle w:val="Table1"/>
        <w:tblpPr w:leftFromText="180" w:rightFromText="180" w:topFromText="180" w:bottomFromText="180" w:vertAnchor="text" w:horzAnchor="text" w:tblpX="0" w:tblpY="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95"/>
        <w:gridCol w:w="7065"/>
        <w:tblGridChange w:id="0">
          <w:tblGrid>
            <w:gridCol w:w="2295"/>
            <w:gridCol w:w="70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5">
            <w:pPr>
              <w:widowControl w:val="0"/>
              <w:spacing w:line="36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July 19th </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6">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USA and UK withdrew aid from funding the Aswan High Dam due to Egypt's association with the Soviet Bloc</w:t>
            </w:r>
          </w:p>
        </w:tc>
      </w:tr>
      <w:tr>
        <w:trPr>
          <w:cantSplit w:val="0"/>
          <w:trHeight w:val="1095" w:hRule="atLeast"/>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7">
            <w:pPr>
              <w:widowControl w:val="0"/>
              <w:spacing w:line="36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July 26th </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8">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President Nasser of Egypt announced the nationalization of the Suez Canal Company to fund the dam, prompting alarm in France and the UK. (“SCA - Canal History”)`</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9">
            <w:pPr>
              <w:widowControl w:val="0"/>
              <w:spacing w:line="36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October 22-24 </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A">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Protocol of Sèvres, a secret meeting between Britain, France, and Israel, planned a collaboration to seize the canal by force.</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B">
            <w:pPr>
              <w:widowControl w:val="0"/>
              <w:spacing w:line="36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October 29th </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C">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10 Isreali bridgaed invade Egypt and advanced towards the canal. </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D">
            <w:pPr>
              <w:widowControl w:val="0"/>
              <w:spacing w:line="36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October 30th </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E">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Britain and France, following the plan agreed upon in the Protocol of Sèvres, demanded that Israeli and Egyptian troops withdraw at least 10 miles away from the canal and announced that they would do a cease-fire ordered by the UN (Britannica)</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F">
            <w:pPr>
              <w:widowControl w:val="0"/>
              <w:spacing w:line="36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Octobre 31st</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0">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Air strikes again, as Anglo-French forces were bombing Egyptian airfields and infrastructure</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1">
            <w:pPr>
              <w:widowControl w:val="0"/>
              <w:spacing w:line="36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November 2nd </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2">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Resolution 997 was passed by the UN calling for a ceasefire. (United Nations)</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3">
            <w:pPr>
              <w:widowControl w:val="0"/>
              <w:spacing w:line="36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November 5 and 6 </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4">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British and French forces landed in Port Said and Port Faud and began occupying the canal zone. This was met by Egypt sinking ships to block the canal. (Britannica)</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5">
            <w:pPr>
              <w:widowControl w:val="0"/>
              <w:spacing w:line="36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November 7th </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6">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UN assembly votes 65 to 1 that invading forces should retreat from Egyptian territory.</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7">
            <w:pPr>
              <w:widowControl w:val="0"/>
              <w:spacing w:line="36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November 29th </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8">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Tripartite Invasion is officially over due to pressure from the UN. (Thought co)</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9">
            <w:pPr>
              <w:widowControl w:val="0"/>
              <w:spacing w:line="36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December 24th </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A">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UN evacuated British and French troops from Egypt. (Britannica)</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B">
            <w:pPr>
              <w:widowControl w:val="0"/>
              <w:spacing w:line="36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March 1957</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C">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Isreali forced retreated from Egypt. (Britannica)</w:t>
            </w:r>
          </w:p>
        </w:tc>
      </w:tr>
    </w:tbl>
    <w:p w:rsidR="00000000" w:rsidDel="00000000" w:rsidP="00000000" w:rsidRDefault="00000000" w:rsidRPr="00000000" w14:paraId="0000005D">
      <w:pPr>
        <w:spacing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5E">
      <w:pPr>
        <w:spacing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5F">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color w:val="0000ff"/>
          <w:rtl w:val="0"/>
        </w:rPr>
        <w:t xml:space="preserve">United Nations Involvement</w:t>
      </w:r>
      <w:r w:rsidDel="00000000" w:rsidR="00000000" w:rsidRPr="00000000">
        <w:rPr>
          <w:rtl w:val="0"/>
        </w:rPr>
      </w:r>
    </w:p>
    <w:p w:rsidR="00000000" w:rsidDel="00000000" w:rsidP="00000000" w:rsidRDefault="00000000" w:rsidRPr="00000000" w14:paraId="00000060">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Creation of the UN Emergency Force (UNEF)</w:t>
      </w:r>
      <w:r w:rsidDel="00000000" w:rsidR="00000000" w:rsidRPr="00000000">
        <w:rPr>
          <w:rtl w:val="0"/>
        </w:rPr>
      </w:r>
    </w:p>
    <w:p w:rsidR="00000000" w:rsidDel="00000000" w:rsidP="00000000" w:rsidRDefault="00000000" w:rsidRPr="00000000" w14:paraId="00000061">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Established in November 1956, the United Nations Emergency Force (UNEF) was the first international peacekeeping force aimed at maintaining the ceasefire set by the United Nations General Assembly. The instructions given to this force consisted of 3 phases. Supervising the withdrawal of major forces from the conflict area, acting as a buffer between Egyptian and Israeli forces, and reporting violations of the ceasefire. This operation was successful, achieving the withdrawal of French and British forces by December 22, 1956, and the withdrawal of Israeli forces by March 8, 1957 (“Stories from the UN Archive: UN’s First Peacekeeping Force | Naciones Unidas”).</w:t>
      </w:r>
    </w:p>
    <w:p w:rsidR="00000000" w:rsidDel="00000000" w:rsidP="00000000" w:rsidRDefault="00000000" w:rsidRPr="00000000" w14:paraId="00000062">
      <w:pPr>
        <w:spacing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63">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The Second Suez Canal Conference</w:t>
      </w:r>
    </w:p>
    <w:p w:rsidR="00000000" w:rsidDel="00000000" w:rsidP="00000000" w:rsidRDefault="00000000" w:rsidRPr="00000000" w14:paraId="00000064">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second Suez Canal conference was held in London, September 19-21. All 18 nations that were invited later attended a meeting on October 1st for the inauguration of the Suez Canal Users’ Association (SCUA). This was a final attempt at a diplomatic approach before relying on military action. This association was proposed mainly by the United States and was heavily influenced by the 1888 convention. The basic purposes were to ensure that the rights of individual users of the Suez Canal were under the 1888 convention. The United States, along with all affiliated nations, looked towards achieving a canal that was available to everyone and managed by its users instead of being in complete control of the Egyptian government (“Historical Documents - Office of the Historian”).</w:t>
      </w:r>
    </w:p>
    <w:p w:rsidR="00000000" w:rsidDel="00000000" w:rsidP="00000000" w:rsidRDefault="00000000" w:rsidRPr="00000000" w14:paraId="00000065">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66">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67">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Security Council Resolution 118</w:t>
      </w:r>
    </w:p>
    <w:p w:rsidR="00000000" w:rsidDel="00000000" w:rsidP="00000000" w:rsidRDefault="00000000" w:rsidRPr="00000000" w14:paraId="00000068">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Resolution 118 was adopted unanimously on October 13, 1956. This resolution laid down six principles that any settlements regarding the Suez Canal had to follow. These requirements strived towards fostering international cooperation, as they ensured that powers were being divided while still protecting Egypt’s sovereignty. Not only that, but it ensured that transit through the canal should be free and open in both technical and political aspects (Nations). The Security Council unanimously agreed to the six principles. However, the Soviet Union vetoed the way in which such principles were put into practice (“Security Council Approves 6 Basic Principles for Suez Settlement”). </w:t>
      </w:r>
    </w:p>
    <w:p w:rsidR="00000000" w:rsidDel="00000000" w:rsidP="00000000" w:rsidRDefault="00000000" w:rsidRPr="00000000" w14:paraId="00000069">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6A">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6B">
      <w:pPr>
        <w:spacing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Evaluation of Previous Attempts to Resolve the Issue</w:t>
      </w:r>
      <w:r w:rsidDel="00000000" w:rsidR="00000000" w:rsidRPr="00000000">
        <w:rPr>
          <w:rtl w:val="0"/>
        </w:rPr>
      </w:r>
    </w:p>
    <w:p w:rsidR="00000000" w:rsidDel="00000000" w:rsidP="00000000" w:rsidRDefault="00000000" w:rsidRPr="00000000" w14:paraId="0000006C">
      <w:pPr>
        <w:spacing w:line="360" w:lineRule="auto"/>
        <w:jc w:val="both"/>
        <w:rPr>
          <w:rFonts w:ascii="Century Gothic" w:cs="Century Gothic" w:eastAsia="Century Gothic" w:hAnsi="Century Gothic"/>
          <w:b w:val="1"/>
          <w:bCs w:val="1"/>
          <w:color w:val="222222"/>
        </w:rPr>
      </w:pPr>
      <w:r w:rsidDel="00000000" w:rsidR="00000000" w:rsidRPr="00000000">
        <w:rPr>
          <w:rFonts w:ascii="Century Gothic" w:cs="Century Gothic" w:eastAsia="Century Gothic" w:hAnsi="Century Gothic"/>
          <w:b w:val="1"/>
          <w:bCs w:val="1"/>
          <w:color w:val="222222"/>
          <w:rtl w:val="0"/>
        </w:rPr>
        <w:t xml:space="preserve">The Menzies Mission </w:t>
      </w:r>
    </w:p>
    <w:p w:rsidR="00000000" w:rsidDel="00000000" w:rsidP="00000000" w:rsidRDefault="00000000" w:rsidRPr="00000000" w14:paraId="0000006D">
      <w:pPr>
        <w:spacing w:line="360" w:lineRule="auto"/>
        <w:jc w:val="both"/>
        <w:rPr>
          <w:rFonts w:ascii="Century Gothic" w:cs="Century Gothic" w:eastAsia="Century Gothic" w:hAnsi="Century Gothic"/>
          <w:color w:val="222222"/>
        </w:rPr>
      </w:pPr>
      <w:r w:rsidDel="00000000" w:rsidR="00000000" w:rsidRPr="00000000">
        <w:rPr>
          <w:rFonts w:ascii="Century Gothic" w:cs="Century Gothic" w:eastAsia="Century Gothic" w:hAnsi="Century Gothic"/>
          <w:color w:val="222222"/>
          <w:rtl w:val="0"/>
        </w:rPr>
        <w:t xml:space="preserve">The first attempt at a diplomatic resolution was a conference in London. The attending countries were: Australia, Ceylon, Denmark, Egypt, Ethiopia, France, West Germany, Greece, India, Indonesia, Iran, Italy, Japan, the Netherlands, New Zealand, Norway, Pakistan, Portugal, the Soviet Union, Spain, Sweden, Turkey, the United Kingdom, and the United States. Except for Egypt, which sent an observer and counted on India and the SOviet union to represent its interests. 15 nations supported the international operation before the canal's nationalization. (Britannica, 2026) They concluded that the best solution involved compensation for the Suez Canal Company and the establishment of rules for future use of the canal, reconciling Egyptian sovereignty over the canal while entrusting its operation to an international body. The Australian Prime Minister, Robert Menzies, was sent to deliver this proposal and met with Nasser in Cairo. (Gray 86-113) The Menzies Mission was a total failure as he fully denied the resolution. In fact, he saw it as an attempt at collective colonialism that undermined Egyptian sovereignty. (Britannica)</w:t>
      </w:r>
    </w:p>
    <w:p w:rsidR="00000000" w:rsidDel="00000000" w:rsidP="00000000" w:rsidRDefault="00000000" w:rsidRPr="00000000" w14:paraId="0000006E">
      <w:pPr>
        <w:spacing w:line="360" w:lineRule="auto"/>
        <w:jc w:val="both"/>
        <w:rPr>
          <w:rFonts w:ascii="Century Gothic" w:cs="Century Gothic" w:eastAsia="Century Gothic" w:hAnsi="Century Gothic"/>
          <w:color w:val="222222"/>
        </w:rPr>
      </w:pPr>
      <w:r w:rsidDel="00000000" w:rsidR="00000000" w:rsidRPr="00000000">
        <w:rPr>
          <w:rtl w:val="0"/>
        </w:rPr>
      </w:r>
    </w:p>
    <w:p w:rsidR="00000000" w:rsidDel="00000000" w:rsidP="00000000" w:rsidRDefault="00000000" w:rsidRPr="00000000" w14:paraId="0000006F">
      <w:pPr>
        <w:spacing w:line="360" w:lineRule="auto"/>
        <w:jc w:val="both"/>
        <w:rPr>
          <w:rFonts w:ascii="Century Gothic" w:cs="Century Gothic" w:eastAsia="Century Gothic" w:hAnsi="Century Gothic"/>
          <w:b w:val="1"/>
          <w:bCs w:val="1"/>
          <w:color w:val="222222"/>
        </w:rPr>
      </w:pPr>
      <w:r w:rsidDel="00000000" w:rsidR="00000000" w:rsidRPr="00000000">
        <w:rPr>
          <w:rFonts w:ascii="Century Gothic" w:cs="Century Gothic" w:eastAsia="Century Gothic" w:hAnsi="Century Gothic"/>
          <w:b w:val="1"/>
          <w:bCs w:val="1"/>
          <w:color w:val="222222"/>
          <w:rtl w:val="0"/>
        </w:rPr>
        <w:t xml:space="preserve">The Suez Canal Users Association (SCUA)</w:t>
      </w:r>
    </w:p>
    <w:p w:rsidR="00000000" w:rsidDel="00000000" w:rsidP="00000000" w:rsidRDefault="00000000" w:rsidRPr="00000000" w14:paraId="00000070">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color w:val="222222"/>
          <w:rtl w:val="0"/>
        </w:rPr>
        <w:t xml:space="preserve">The next idea to resolve this issue was to make the Suez Canal run by the nations that used it most.  The idea was to create an association that would hire its own pilots, manage ship traffic, collect transit tolls, and then pay Egypt a percentage for the use of the canal. ("Suez Canal Authority - Canal History") This way, it would maintain the international operation that the UK and France desired while allowing Egypt to technically own the canal. Britain and France, initially hesitant, agreed to this resolution. ("Suez Crisis") However, he implied that the use of force in this resolution was ineffective. Regardless, Nasser immediately rejected the plan and any attempt to remove its ownership from the canal. ("Nationalization of Suez Canal: full text of speech by Col Nasser, 28 July 1956") Although the resolution, in theory, would have been a good proposal, Egypt intended, through this dramatic nationalism, to become independent. To remove itself from any colonial powers and boost its economy to pay for the dam through the Canal.</w:t>
      </w:r>
      <w:r w:rsidDel="00000000" w:rsidR="00000000" w:rsidRPr="00000000">
        <w:rPr>
          <w:rtl w:val="0"/>
        </w:rPr>
      </w:r>
    </w:p>
    <w:p w:rsidR="00000000" w:rsidDel="00000000" w:rsidP="00000000" w:rsidRDefault="00000000" w:rsidRPr="00000000" w14:paraId="00000071">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72">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73">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color w:val="0000ff"/>
          <w:rtl w:val="0"/>
        </w:rPr>
        <w:t xml:space="preserve">Possible Solutions</w:t>
      </w:r>
      <w:r w:rsidDel="00000000" w:rsidR="00000000" w:rsidRPr="00000000">
        <w:rPr>
          <w:rtl w:val="0"/>
        </w:rPr>
      </w:r>
    </w:p>
    <w:p w:rsidR="00000000" w:rsidDel="00000000" w:rsidP="00000000" w:rsidRDefault="00000000" w:rsidRPr="00000000" w14:paraId="00000074">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Canal Governance</w:t>
      </w:r>
      <w:r w:rsidDel="00000000" w:rsidR="00000000" w:rsidRPr="00000000">
        <w:rPr>
          <w:rtl w:val="0"/>
        </w:rPr>
      </w:r>
    </w:p>
    <w:p w:rsidR="00000000" w:rsidDel="00000000" w:rsidP="00000000" w:rsidRDefault="00000000" w:rsidRPr="00000000" w14:paraId="00000075">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This crisis turned international due to conflicts between national sovereignty and international trade rights. It proved that treaties were not correctly enforced, and efforts were too easily neglected. To ensure a balance between free and open maritime arteries and the rights of the host nation, legal structures must be changed. This committee must figure out a way to modernize legal frameworks and ensure the creation of a system that protects economic security without breaching the jurisdiction of any state. Having bodies that can oversee and guide deadlocked councils is key to minimizing military action and promoting diplomatic transparency. </w:t>
      </w:r>
    </w:p>
    <w:p w:rsidR="00000000" w:rsidDel="00000000" w:rsidP="00000000" w:rsidRDefault="00000000" w:rsidRPr="00000000" w14:paraId="00000076">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77">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Multilateral Oversight</w:t>
      </w:r>
    </w:p>
    <w:p w:rsidR="00000000" w:rsidDel="00000000" w:rsidP="00000000" w:rsidRDefault="00000000" w:rsidRPr="00000000" w14:paraId="00000078">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tripartite force is what triggered the creation of the first-ever United Nations peacekeeping force. However, it served mainly as a buffer force that can often be a temporary solution. To prevent military escalation, delegates should aim to transition from temporary solutions to permanent arrangements. This includes permanent demilitarized zones, international monitoring systems, or forces that set clear consequences for nations that violate agreements. Delegates must shift the focus from active crisis management to long-term structural prevention. This would ensure that waterways remain secure and that safety is guaranteed without needing exterior forces to intervene.</w:t>
      </w:r>
    </w:p>
    <w:p w:rsidR="00000000" w:rsidDel="00000000" w:rsidP="00000000" w:rsidRDefault="00000000" w:rsidRPr="00000000" w14:paraId="00000079">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7A">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Infrastructure Development</w:t>
      </w:r>
    </w:p>
    <w:p w:rsidR="00000000" w:rsidDel="00000000" w:rsidP="00000000" w:rsidRDefault="00000000" w:rsidRPr="00000000" w14:paraId="0000007B">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It can be said that this crisis stemmed from the initial choice of not funding the Aswan High Dam, showing how infrastructure can easily be used as a tool for political leverage. To prevent such a crisis from escalating from situations like this, investment frameworks for projects of international importance should be created. By establishing this system, issues regarding economic development and stability can be resolved before becoming international crises. It is also essential to implement third-party audits to oversee costs and economic benefits. This would ensure economic neutrality and make sure benefits are distributed fairly.</w:t>
      </w:r>
    </w:p>
    <w:p w:rsidR="00000000" w:rsidDel="00000000" w:rsidP="00000000" w:rsidRDefault="00000000" w:rsidRPr="00000000" w14:paraId="0000007C">
      <w:pPr>
        <w:spacing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7D">
      <w:pPr>
        <w:spacing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7E">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color w:val="0000ff"/>
          <w:rtl w:val="0"/>
        </w:rPr>
        <w:t xml:space="preserve">Sustainable Development Goal (SDG)</w:t>
      </w:r>
      <w:r w:rsidDel="00000000" w:rsidR="00000000" w:rsidRPr="00000000">
        <w:rPr>
          <w:rtl w:val="0"/>
        </w:rPr>
      </w:r>
    </w:p>
    <w:p w:rsidR="00000000" w:rsidDel="00000000" w:rsidP="00000000" w:rsidRDefault="00000000" w:rsidRPr="00000000" w14:paraId="0000007F">
      <w:pPr>
        <w:widowControl w:val="0"/>
        <w:spacing w:after="120" w:before="120" w:line="360" w:lineRule="auto"/>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SDG 16,  Peace, Justice and Strong Institutions</w:t>
      </w:r>
    </w:p>
    <w:p w:rsidR="00000000" w:rsidDel="00000000" w:rsidP="00000000" w:rsidRDefault="00000000" w:rsidRPr="00000000" w14:paraId="00000080">
      <w:pPr>
        <w:widowControl w:val="0"/>
        <w:spacing w:after="120" w:before="120" w:line="36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Sustainable Development Goal #16: Peace, Justice and Strong Institutions aims to promote peaceful and inclusive societies for sustainable development. In addition, it aims to provide access to justice and create effective and accountable institutions at all levels. (United Nations). To achieve this goal, it would take international collaboration, persistent citizens, and well-structured institutions. This connects to our issue bulletin because it enforces law, accountability, and decision-making governance, as was applied during the Suez Canal Crisis of 1956. This crisis led to questions about international unity based on a debate of sovereignty, putting to the test all these institutions and countries involved. In the end, peace was reached, but the process was complex, highlighting the inefficiencies in international mediation and decision-making. Through this event, lessons can be understood to be applied seamlessly to other cases that may threaten the international community.</w:t>
      </w:r>
    </w:p>
    <w:p w:rsidR="00000000" w:rsidDel="00000000" w:rsidP="00000000" w:rsidRDefault="00000000" w:rsidRPr="00000000" w14:paraId="00000081">
      <w:pPr>
        <w:widowControl w:val="0"/>
        <w:spacing w:after="120" w:before="120" w:line="360" w:lineRule="auto"/>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82">
      <w:pPr>
        <w:widowControl w:val="0"/>
        <w:spacing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83">
      <w:pPr>
        <w:widowControl w:val="0"/>
        <w:spacing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84">
      <w:pPr>
        <w:widowControl w:val="0"/>
        <w:spacing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85">
      <w:pPr>
        <w:widowControl w:val="0"/>
        <w:spacing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Appendix</w:t>
      </w:r>
    </w:p>
    <w:p w:rsidR="00000000" w:rsidDel="00000000" w:rsidP="00000000" w:rsidRDefault="00000000" w:rsidRPr="00000000" w14:paraId="00000086">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This section of the issue bulletin is dedicated to providing delegates with valuable sources to utilize during their research.</w:t>
      </w:r>
    </w:p>
    <w:p w:rsidR="00000000" w:rsidDel="00000000" w:rsidP="00000000" w:rsidRDefault="00000000" w:rsidRPr="00000000" w14:paraId="00000087">
      <w:pPr>
        <w:widowControl w:val="0"/>
        <w:spacing w:line="360" w:lineRule="auto"/>
        <w:jc w:val="both"/>
        <w:rPr>
          <w:rFonts w:ascii="Century Gothic" w:cs="Century Gothic" w:eastAsia="Century Gothic" w:hAnsi="Century Gothic"/>
          <w:sz w:val="14"/>
          <w:szCs w:val="14"/>
        </w:rPr>
      </w:pPr>
      <w:r w:rsidDel="00000000" w:rsidR="00000000" w:rsidRPr="00000000">
        <w:rPr>
          <w:rFonts w:ascii="Century Gothic" w:cs="Century Gothic" w:eastAsia="Century Gothic" w:hAnsi="Century Gothic"/>
          <w:rtl w:val="0"/>
        </w:rPr>
        <w:t xml:space="preserve"> </w:t>
      </w:r>
      <w:r w:rsidDel="00000000" w:rsidR="00000000" w:rsidRPr="00000000">
        <w:rPr>
          <w:rtl w:val="0"/>
        </w:rPr>
      </w:r>
    </w:p>
    <w:p w:rsidR="00000000" w:rsidDel="00000000" w:rsidP="00000000" w:rsidRDefault="00000000" w:rsidRPr="00000000" w14:paraId="00000088">
      <w:pPr>
        <w:widowControl w:val="0"/>
        <w:spacing w:line="360" w:lineRule="auto"/>
        <w:jc w:val="both"/>
        <w:rPr>
          <w:rFonts w:ascii="Century Gothic" w:cs="Century Gothic" w:eastAsia="Century Gothic" w:hAnsi="Century Gothic"/>
          <w:sz w:val="14"/>
          <w:szCs w:val="14"/>
        </w:rPr>
      </w:pPr>
      <w:r w:rsidDel="00000000" w:rsidR="00000000" w:rsidRPr="00000000">
        <w:rPr>
          <w:rtl w:val="0"/>
        </w:rPr>
      </w:r>
    </w:p>
    <w:p w:rsidR="00000000" w:rsidDel="00000000" w:rsidP="00000000" w:rsidRDefault="00000000" w:rsidRPr="00000000" w14:paraId="00000089">
      <w:pPr>
        <w:widowControl w:val="0"/>
        <w:spacing w:line="360" w:lineRule="auto"/>
        <w:jc w:val="both"/>
        <w:rPr>
          <w:rFonts w:ascii="Century Gothic" w:cs="Century Gothic" w:eastAsia="Century Gothic" w:hAnsi="Century Gothic"/>
          <w:highlight w:val="white"/>
        </w:rPr>
      </w:pPr>
      <w:hyperlink r:id="rId19">
        <w:r w:rsidDel="00000000" w:rsidR="00000000" w:rsidRPr="00000000">
          <w:rPr>
            <w:rFonts w:ascii="Century Gothic" w:cs="Century Gothic" w:eastAsia="Century Gothic" w:hAnsi="Century Gothic"/>
            <w:color w:val="1155cc"/>
            <w:highlight w:val="white"/>
            <w:u w:val="single"/>
            <w:rtl w:val="0"/>
          </w:rPr>
          <w:t xml:space="preserve">https://history.state.gov/historicaldocuments/frus1955-57v16/comp1</w:t>
        </w:r>
      </w:hyperlink>
      <w:r w:rsidDel="00000000" w:rsidR="00000000" w:rsidRPr="00000000">
        <w:rPr>
          <w:rtl w:val="0"/>
        </w:rPr>
      </w:r>
    </w:p>
    <w:p w:rsidR="00000000" w:rsidDel="00000000" w:rsidP="00000000" w:rsidRDefault="00000000" w:rsidRPr="00000000" w14:paraId="0000008A">
      <w:pPr>
        <w:widowControl w:val="0"/>
        <w:spacing w:line="360" w:lineRule="auto"/>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b w:val="1"/>
          <w:bCs w:val="1"/>
          <w:highlight w:val="white"/>
          <w:rtl w:val="0"/>
        </w:rPr>
        <w:t xml:space="preserve">Source A:</w:t>
      </w:r>
      <w:r w:rsidDel="00000000" w:rsidR="00000000" w:rsidRPr="00000000">
        <w:rPr>
          <w:rFonts w:ascii="Century Gothic" w:cs="Century Gothic" w:eastAsia="Century Gothic" w:hAnsi="Century Gothic"/>
          <w:highlight w:val="white"/>
          <w:rtl w:val="0"/>
        </w:rPr>
        <w:t xml:space="preserve"> This source, published by the United States Department of State, encompasses major diplomatic documents. It allows the delegates to dig deeper into the agreements and organizations related to the crisis.</w:t>
      </w:r>
    </w:p>
    <w:p w:rsidR="00000000" w:rsidDel="00000000" w:rsidP="00000000" w:rsidRDefault="00000000" w:rsidRPr="00000000" w14:paraId="0000008B">
      <w:pPr>
        <w:widowControl w:val="0"/>
        <w:spacing w:line="360" w:lineRule="auto"/>
        <w:jc w:val="both"/>
        <w:rPr>
          <w:rFonts w:ascii="Century Gothic" w:cs="Century Gothic" w:eastAsia="Century Gothic" w:hAnsi="Century Gothic"/>
          <w:highlight w:val="white"/>
        </w:rPr>
      </w:pPr>
      <w:r w:rsidDel="00000000" w:rsidR="00000000" w:rsidRPr="00000000">
        <w:rPr>
          <w:rtl w:val="0"/>
        </w:rPr>
      </w:r>
    </w:p>
    <w:p w:rsidR="00000000" w:rsidDel="00000000" w:rsidP="00000000" w:rsidRDefault="00000000" w:rsidRPr="00000000" w14:paraId="0000008C">
      <w:pPr>
        <w:widowControl w:val="0"/>
        <w:spacing w:line="360" w:lineRule="auto"/>
        <w:jc w:val="both"/>
        <w:rPr>
          <w:rFonts w:ascii="Century Gothic" w:cs="Century Gothic" w:eastAsia="Century Gothic" w:hAnsi="Century Gothic"/>
          <w:highlight w:val="white"/>
        </w:rPr>
      </w:pPr>
      <w:r w:rsidDel="00000000" w:rsidR="00000000" w:rsidRPr="00000000">
        <w:rPr>
          <w:rtl w:val="0"/>
        </w:rPr>
      </w:r>
    </w:p>
    <w:p w:rsidR="00000000" w:rsidDel="00000000" w:rsidP="00000000" w:rsidRDefault="00000000" w:rsidRPr="00000000" w14:paraId="0000008D">
      <w:pPr>
        <w:widowControl w:val="0"/>
        <w:spacing w:line="360" w:lineRule="auto"/>
        <w:jc w:val="both"/>
        <w:rPr>
          <w:rFonts w:ascii="Century Gothic" w:cs="Century Gothic" w:eastAsia="Century Gothic" w:hAnsi="Century Gothic"/>
          <w:highlight w:val="white"/>
        </w:rPr>
      </w:pPr>
      <w:hyperlink r:id="rId20">
        <w:r w:rsidDel="00000000" w:rsidR="00000000" w:rsidRPr="00000000">
          <w:rPr>
            <w:rFonts w:ascii="Century Gothic" w:cs="Century Gothic" w:eastAsia="Century Gothic" w:hAnsi="Century Gothic"/>
            <w:color w:val="1155cc"/>
            <w:highlight w:val="white"/>
            <w:u w:val="single"/>
            <w:rtl w:val="0"/>
          </w:rPr>
          <w:t xml:space="preserve">https://www.nam.ac.uk/explore/suez-crisis</w:t>
        </w:r>
      </w:hyperlink>
      <w:r w:rsidDel="00000000" w:rsidR="00000000" w:rsidRPr="00000000">
        <w:rPr>
          <w:rtl w:val="0"/>
        </w:rPr>
      </w:r>
    </w:p>
    <w:p w:rsidR="00000000" w:rsidDel="00000000" w:rsidP="00000000" w:rsidRDefault="00000000" w:rsidRPr="00000000" w14:paraId="0000008E">
      <w:pPr>
        <w:widowControl w:val="0"/>
        <w:spacing w:line="360" w:lineRule="auto"/>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b w:val="1"/>
          <w:bCs w:val="1"/>
          <w:highlight w:val="white"/>
          <w:rtl w:val="0"/>
        </w:rPr>
        <w:t xml:space="preserve">Source B:</w:t>
      </w:r>
      <w:r w:rsidDel="00000000" w:rsidR="00000000" w:rsidRPr="00000000">
        <w:rPr>
          <w:rFonts w:ascii="Century Gothic" w:cs="Century Gothic" w:eastAsia="Century Gothic" w:hAnsi="Century Gothic"/>
          <w:highlight w:val="white"/>
          <w:rtl w:val="0"/>
        </w:rPr>
        <w:t xml:space="preserve"> This source provides a detailed overview of the Suez Canal crisis, in addition to many perspectives regarding the issue. </w:t>
      </w:r>
    </w:p>
    <w:p w:rsidR="00000000" w:rsidDel="00000000" w:rsidP="00000000" w:rsidRDefault="00000000" w:rsidRPr="00000000" w14:paraId="0000008F">
      <w:pPr>
        <w:widowControl w:val="0"/>
        <w:spacing w:line="360" w:lineRule="auto"/>
        <w:jc w:val="both"/>
        <w:rPr>
          <w:rFonts w:ascii="Century Gothic" w:cs="Century Gothic" w:eastAsia="Century Gothic" w:hAnsi="Century Gothic"/>
          <w:highlight w:val="white"/>
        </w:rPr>
      </w:pPr>
      <w:r w:rsidDel="00000000" w:rsidR="00000000" w:rsidRPr="00000000">
        <w:rPr>
          <w:rtl w:val="0"/>
        </w:rPr>
      </w:r>
    </w:p>
    <w:p w:rsidR="00000000" w:rsidDel="00000000" w:rsidP="00000000" w:rsidRDefault="00000000" w:rsidRPr="00000000" w14:paraId="00000090">
      <w:pPr>
        <w:widowControl w:val="0"/>
        <w:spacing w:line="360" w:lineRule="auto"/>
        <w:jc w:val="both"/>
        <w:rPr>
          <w:rFonts w:ascii="Century Gothic" w:cs="Century Gothic" w:eastAsia="Century Gothic" w:hAnsi="Century Gothic"/>
          <w:highlight w:val="white"/>
        </w:rPr>
      </w:pPr>
      <w:r w:rsidDel="00000000" w:rsidR="00000000" w:rsidRPr="00000000">
        <w:rPr>
          <w:rtl w:val="0"/>
        </w:rPr>
      </w:r>
    </w:p>
    <w:p w:rsidR="00000000" w:rsidDel="00000000" w:rsidP="00000000" w:rsidRDefault="00000000" w:rsidRPr="00000000" w14:paraId="00000091">
      <w:pPr>
        <w:widowControl w:val="0"/>
        <w:spacing w:line="360" w:lineRule="auto"/>
        <w:jc w:val="both"/>
        <w:rPr>
          <w:rFonts w:ascii="Century Gothic" w:cs="Century Gothic" w:eastAsia="Century Gothic" w:hAnsi="Century Gothic"/>
          <w:highlight w:val="white"/>
        </w:rPr>
      </w:pPr>
      <w:hyperlink r:id="rId21">
        <w:r w:rsidDel="00000000" w:rsidR="00000000" w:rsidRPr="00000000">
          <w:rPr>
            <w:rFonts w:ascii="Century Gothic" w:cs="Century Gothic" w:eastAsia="Century Gothic" w:hAnsi="Century Gothic"/>
            <w:color w:val="1155cc"/>
            <w:highlight w:val="white"/>
            <w:u w:val="single"/>
            <w:rtl w:val="0"/>
          </w:rPr>
          <w:t xml:space="preserve">https://www.suezcanal.gov.eg/English/About/CanalTreatiesAndDecrees/Pages/ConstantinopleConvention.aspx</w:t>
        </w:r>
      </w:hyperlink>
      <w:r w:rsidDel="00000000" w:rsidR="00000000" w:rsidRPr="00000000">
        <w:rPr>
          <w:rtl w:val="0"/>
        </w:rPr>
      </w:r>
    </w:p>
    <w:p w:rsidR="00000000" w:rsidDel="00000000" w:rsidP="00000000" w:rsidRDefault="00000000" w:rsidRPr="00000000" w14:paraId="00000092">
      <w:pPr>
        <w:widowControl w:val="0"/>
        <w:spacing w:line="360" w:lineRule="auto"/>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b w:val="1"/>
          <w:bCs w:val="1"/>
          <w:highlight w:val="white"/>
          <w:rtl w:val="0"/>
        </w:rPr>
        <w:t xml:space="preserve">Source C:</w:t>
      </w:r>
      <w:r w:rsidDel="00000000" w:rsidR="00000000" w:rsidRPr="00000000">
        <w:rPr>
          <w:rFonts w:ascii="Century Gothic" w:cs="Century Gothic" w:eastAsia="Century Gothic" w:hAnsi="Century Gothic"/>
          <w:highlight w:val="white"/>
          <w:rtl w:val="0"/>
        </w:rPr>
        <w:t xml:space="preserve"> Allows delegates to discover the Constantinople Convention of 1888, the basis of many debates, agreements, and organizations rooted in the issue. </w:t>
      </w:r>
    </w:p>
    <w:p w:rsidR="00000000" w:rsidDel="00000000" w:rsidP="00000000" w:rsidRDefault="00000000" w:rsidRPr="00000000" w14:paraId="00000093">
      <w:pPr>
        <w:widowControl w:val="0"/>
        <w:spacing w:line="360" w:lineRule="auto"/>
        <w:jc w:val="both"/>
        <w:rPr>
          <w:rFonts w:ascii="Century Gothic" w:cs="Century Gothic" w:eastAsia="Century Gothic" w:hAnsi="Century Gothic"/>
          <w:highlight w:val="white"/>
        </w:rPr>
      </w:pPr>
      <w:r w:rsidDel="00000000" w:rsidR="00000000" w:rsidRPr="00000000">
        <w:rPr>
          <w:rtl w:val="0"/>
        </w:rPr>
      </w:r>
    </w:p>
    <w:p w:rsidR="00000000" w:rsidDel="00000000" w:rsidP="00000000" w:rsidRDefault="00000000" w:rsidRPr="00000000" w14:paraId="00000094">
      <w:pPr>
        <w:widowControl w:val="0"/>
        <w:spacing w:line="360" w:lineRule="auto"/>
        <w:jc w:val="both"/>
        <w:rPr>
          <w:rFonts w:ascii="Century Gothic" w:cs="Century Gothic" w:eastAsia="Century Gothic" w:hAnsi="Century Gothic"/>
          <w:highlight w:val="white"/>
        </w:rPr>
      </w:pPr>
      <w:r w:rsidDel="00000000" w:rsidR="00000000" w:rsidRPr="00000000">
        <w:rPr>
          <w:rtl w:val="0"/>
        </w:rPr>
      </w:r>
    </w:p>
    <w:p w:rsidR="00000000" w:rsidDel="00000000" w:rsidP="00000000" w:rsidRDefault="00000000" w:rsidRPr="00000000" w14:paraId="00000095">
      <w:pPr>
        <w:widowControl w:val="0"/>
        <w:spacing w:line="360" w:lineRule="auto"/>
        <w:jc w:val="both"/>
        <w:rPr>
          <w:rFonts w:ascii="Century Gothic" w:cs="Century Gothic" w:eastAsia="Century Gothic" w:hAnsi="Century Gothic"/>
          <w:highlight w:val="white"/>
        </w:rPr>
      </w:pPr>
      <w:hyperlink r:id="rId22">
        <w:r w:rsidDel="00000000" w:rsidR="00000000" w:rsidRPr="00000000">
          <w:rPr>
            <w:rFonts w:ascii="Century Gothic" w:cs="Century Gothic" w:eastAsia="Century Gothic" w:hAnsi="Century Gothic"/>
            <w:color w:val="1155cc"/>
            <w:highlight w:val="white"/>
            <w:u w:val="single"/>
            <w:rtl w:val="0"/>
          </w:rPr>
          <w:t xml:space="preserve">https://www.jstor.org/stable/2624270?seq=1</w:t>
        </w:r>
      </w:hyperlink>
      <w:r w:rsidDel="00000000" w:rsidR="00000000" w:rsidRPr="00000000">
        <w:rPr>
          <w:rtl w:val="0"/>
        </w:rPr>
      </w:r>
    </w:p>
    <w:p w:rsidR="00000000" w:rsidDel="00000000" w:rsidP="00000000" w:rsidRDefault="00000000" w:rsidRPr="00000000" w14:paraId="00000096">
      <w:pPr>
        <w:widowControl w:val="0"/>
        <w:spacing w:line="360" w:lineRule="auto"/>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b w:val="1"/>
          <w:bCs w:val="1"/>
          <w:highlight w:val="white"/>
          <w:rtl w:val="0"/>
        </w:rPr>
        <w:t xml:space="preserve">Source D</w:t>
      </w:r>
      <w:r w:rsidDel="00000000" w:rsidR="00000000" w:rsidRPr="00000000">
        <w:rPr>
          <w:rFonts w:ascii="Century Gothic" w:cs="Century Gothic" w:eastAsia="Century Gothic" w:hAnsi="Century Gothic"/>
          <w:highlight w:val="white"/>
          <w:rtl w:val="0"/>
        </w:rPr>
        <w:t xml:space="preserve">: In-depth analysis of the Sèvres Protocol. Allows delegates to better understand the escalation of conflict and the main military planning and coordination behind multiple attacks during the Suez Crisis.</w:t>
      </w:r>
    </w:p>
    <w:p w:rsidR="00000000" w:rsidDel="00000000" w:rsidP="00000000" w:rsidRDefault="00000000" w:rsidRPr="00000000" w14:paraId="00000097">
      <w:pPr>
        <w:widowControl w:val="0"/>
        <w:spacing w:line="360" w:lineRule="auto"/>
        <w:jc w:val="both"/>
        <w:rPr>
          <w:rFonts w:ascii="Century Gothic" w:cs="Century Gothic" w:eastAsia="Century Gothic" w:hAnsi="Century Gothic"/>
          <w:highlight w:val="white"/>
        </w:rPr>
      </w:pPr>
      <w:r w:rsidDel="00000000" w:rsidR="00000000" w:rsidRPr="00000000">
        <w:rPr>
          <w:rtl w:val="0"/>
        </w:rPr>
      </w:r>
    </w:p>
    <w:p w:rsidR="00000000" w:rsidDel="00000000" w:rsidP="00000000" w:rsidRDefault="00000000" w:rsidRPr="00000000" w14:paraId="00000098">
      <w:pPr>
        <w:widowControl w:val="0"/>
        <w:spacing w:line="360" w:lineRule="auto"/>
        <w:jc w:val="both"/>
        <w:rPr>
          <w:rFonts w:ascii="Century Gothic" w:cs="Century Gothic" w:eastAsia="Century Gothic" w:hAnsi="Century Gothic"/>
          <w:highlight w:val="white"/>
        </w:rPr>
      </w:pPr>
      <w:r w:rsidDel="00000000" w:rsidR="00000000" w:rsidRPr="00000000">
        <w:rPr>
          <w:rtl w:val="0"/>
        </w:rPr>
      </w:r>
    </w:p>
    <w:p w:rsidR="00000000" w:rsidDel="00000000" w:rsidP="00000000" w:rsidRDefault="00000000" w:rsidRPr="00000000" w14:paraId="00000099">
      <w:pPr>
        <w:widowControl w:val="0"/>
        <w:spacing w:line="360" w:lineRule="auto"/>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b w:val="1"/>
          <w:bCs w:val="1"/>
          <w:color w:val="0000ff"/>
          <w:rtl w:val="0"/>
        </w:rPr>
        <w:t xml:space="preserve">Bibliography</w:t>
      </w:r>
      <w:r w:rsidDel="00000000" w:rsidR="00000000" w:rsidRPr="00000000">
        <w:rPr>
          <w:rtl w:val="0"/>
        </w:rPr>
      </w:r>
    </w:p>
    <w:p w:rsidR="00000000" w:rsidDel="00000000" w:rsidP="00000000" w:rsidRDefault="00000000" w:rsidRPr="00000000" w14:paraId="0000009A">
      <w:pPr>
        <w:spacing w:line="480" w:lineRule="auto"/>
        <w:ind w:left="1200" w:hanging="60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“SCA - Canal History.” </w:t>
      </w:r>
      <w:r w:rsidDel="00000000" w:rsidR="00000000" w:rsidRPr="00000000">
        <w:rPr>
          <w:rFonts w:ascii="Century Gothic" w:cs="Century Gothic" w:eastAsia="Century Gothic" w:hAnsi="Century Gothic"/>
          <w:i w:val="1"/>
          <w:iCs w:val="1"/>
          <w:rtl w:val="0"/>
        </w:rPr>
        <w:t xml:space="preserve">Suezcanal.Gov.Eg</w:t>
      </w:r>
      <w:r w:rsidDel="00000000" w:rsidR="00000000" w:rsidRPr="00000000">
        <w:rPr>
          <w:rFonts w:ascii="Century Gothic" w:cs="Century Gothic" w:eastAsia="Century Gothic" w:hAnsi="Century Gothic"/>
          <w:rtl w:val="0"/>
        </w:rPr>
        <w:t xml:space="preserve">, 2026, https://www.suezcanal.gov.eg/English/About/SuezCanal/Pages/CanalHistory.aspx. Accessed 23 Apr. 2026.</w:t>
      </w:r>
    </w:p>
    <w:p w:rsidR="00000000" w:rsidDel="00000000" w:rsidP="00000000" w:rsidRDefault="00000000" w:rsidRPr="00000000" w14:paraId="0000009B">
      <w:pPr>
        <w:spacing w:line="480" w:lineRule="auto"/>
        <w:ind w:left="1200" w:hanging="60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“Milestones in the History of U.S. Foreign Relations - Office of the Historian.” </w:t>
      </w:r>
      <w:r w:rsidDel="00000000" w:rsidR="00000000" w:rsidRPr="00000000">
        <w:rPr>
          <w:rFonts w:ascii="Century Gothic" w:cs="Century Gothic" w:eastAsia="Century Gothic" w:hAnsi="Century Gothic"/>
          <w:i w:val="1"/>
          <w:iCs w:val="1"/>
          <w:rtl w:val="0"/>
        </w:rPr>
        <w:t xml:space="preserve">State.Gov</w:t>
      </w:r>
      <w:r w:rsidDel="00000000" w:rsidR="00000000" w:rsidRPr="00000000">
        <w:rPr>
          <w:rFonts w:ascii="Century Gothic" w:cs="Century Gothic" w:eastAsia="Century Gothic" w:hAnsi="Century Gothic"/>
          <w:rtl w:val="0"/>
        </w:rPr>
        <w:t xml:space="preserve">, 2026, https://history.state.gov/milestones/1953-1960/suez. Accessed 23 Apr. 2026.</w:t>
      </w:r>
    </w:p>
    <w:p w:rsidR="00000000" w:rsidDel="00000000" w:rsidP="00000000" w:rsidRDefault="00000000" w:rsidRPr="00000000" w14:paraId="0000009C">
      <w:pPr>
        <w:spacing w:line="480" w:lineRule="auto"/>
        <w:ind w:left="1200" w:hanging="60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Shlaim, Avi. “The Protocol of Séevres, 1956: Anatomy of a War Plot.” </w:t>
      </w:r>
      <w:r w:rsidDel="00000000" w:rsidR="00000000" w:rsidRPr="00000000">
        <w:rPr>
          <w:rFonts w:ascii="Century Gothic" w:cs="Century Gothic" w:eastAsia="Century Gothic" w:hAnsi="Century Gothic"/>
          <w:i w:val="1"/>
          <w:iCs w:val="1"/>
          <w:rtl w:val="0"/>
        </w:rPr>
        <w:t xml:space="preserve">International Affairs</w:t>
      </w:r>
      <w:r w:rsidDel="00000000" w:rsidR="00000000" w:rsidRPr="00000000">
        <w:rPr>
          <w:rFonts w:ascii="Century Gothic" w:cs="Century Gothic" w:eastAsia="Century Gothic" w:hAnsi="Century Gothic"/>
          <w:rtl w:val="0"/>
        </w:rPr>
        <w:t xml:space="preserve">, vol. 73, no. 3, July 1997, pp. 509–530, https://www.jstor.org/stable/2624270, 10.2307/2624270. Accessed 25 Apr. 2026.</w:t>
      </w:r>
    </w:p>
    <w:p w:rsidR="00000000" w:rsidDel="00000000" w:rsidP="00000000" w:rsidRDefault="00000000" w:rsidRPr="00000000" w14:paraId="0000009D">
      <w:pPr>
        <w:spacing w:line="480" w:lineRule="auto"/>
        <w:ind w:left="1200" w:hanging="60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Britannica Editors. “Suez Crisis | Definition, Summary, Location, History, Dates, Significance, &amp; Facts.” </w:t>
      </w:r>
      <w:r w:rsidDel="00000000" w:rsidR="00000000" w:rsidRPr="00000000">
        <w:rPr>
          <w:rFonts w:ascii="Century Gothic" w:cs="Century Gothic" w:eastAsia="Century Gothic" w:hAnsi="Century Gothic"/>
          <w:i w:val="1"/>
          <w:iCs w:val="1"/>
          <w:rtl w:val="0"/>
        </w:rPr>
        <w:t xml:space="preserve">Encyclopedia Britannica</w:t>
      </w:r>
      <w:r w:rsidDel="00000000" w:rsidR="00000000" w:rsidRPr="00000000">
        <w:rPr>
          <w:rFonts w:ascii="Century Gothic" w:cs="Century Gothic" w:eastAsia="Century Gothic" w:hAnsi="Century Gothic"/>
          <w:rtl w:val="0"/>
        </w:rPr>
        <w:t xml:space="preserve">, 20 July 1998, https://www.britannica.com/event/Suez-Crisis. Accessed 25 Apr. 2026.</w:t>
      </w:r>
    </w:p>
    <w:p w:rsidR="00000000" w:rsidDel="00000000" w:rsidP="00000000" w:rsidRDefault="00000000" w:rsidRPr="00000000" w14:paraId="0000009E">
      <w:pPr>
        <w:spacing w:line="480" w:lineRule="auto"/>
        <w:ind w:left="1200" w:hanging="60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“View of the Suez Canal Obstructed by Ships That Have Been Damaged and Sunk by the Egyptian Authorities (Port Said, 1956).” </w:t>
      </w:r>
      <w:r w:rsidDel="00000000" w:rsidR="00000000" w:rsidRPr="00000000">
        <w:rPr>
          <w:rFonts w:ascii="Century Gothic" w:cs="Century Gothic" w:eastAsia="Century Gothic" w:hAnsi="Century Gothic"/>
          <w:i w:val="1"/>
          <w:iCs w:val="1"/>
          <w:rtl w:val="0"/>
        </w:rPr>
        <w:t xml:space="preserve">CVCE.EU by UNI.LU</w:t>
      </w:r>
      <w:r w:rsidDel="00000000" w:rsidR="00000000" w:rsidRPr="00000000">
        <w:rPr>
          <w:rFonts w:ascii="Century Gothic" w:cs="Century Gothic" w:eastAsia="Century Gothic" w:hAnsi="Century Gothic"/>
          <w:rtl w:val="0"/>
        </w:rPr>
        <w:t xml:space="preserve">, 11 July 2016, https://www.cvce.eu/en/obj/view_of_the_suez_canal_obstructed_by_ships_that_have_been_damaged_and_sunk_by_the_egyptian_authorities_port_said_1956-en-8aae5917-eabb-459e-979a-00633c171b6e.html. Accessed 25 Apr. 2026.</w:t>
      </w:r>
    </w:p>
    <w:p w:rsidR="00000000" w:rsidDel="00000000" w:rsidP="00000000" w:rsidRDefault="00000000" w:rsidRPr="00000000" w14:paraId="0000009F">
      <w:pPr>
        <w:spacing w:line="480" w:lineRule="auto"/>
        <w:ind w:left="1200" w:hanging="60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Suez Crisis | Robert Menzies Institute.” </w:t>
      </w:r>
      <w:r w:rsidDel="00000000" w:rsidR="00000000" w:rsidRPr="00000000">
        <w:rPr>
          <w:rFonts w:ascii="Century Gothic" w:cs="Century Gothic" w:eastAsia="Century Gothic" w:hAnsi="Century Gothic"/>
          <w:i w:val="1"/>
          <w:iCs w:val="1"/>
          <w:rtl w:val="0"/>
        </w:rPr>
        <w:t xml:space="preserve">Robert Menzies Institute</w:t>
      </w:r>
      <w:r w:rsidDel="00000000" w:rsidR="00000000" w:rsidRPr="00000000">
        <w:rPr>
          <w:rFonts w:ascii="Century Gothic" w:cs="Century Gothic" w:eastAsia="Century Gothic" w:hAnsi="Century Gothic"/>
          <w:rtl w:val="0"/>
        </w:rPr>
        <w:t xml:space="preserve">, 2 Sept. 2024, https://www.robertmenziesinstitute.org.au/on-this-day/the-suez-crisis/. Accessed 25 Apr. 2026.</w:t>
      </w:r>
    </w:p>
    <w:p w:rsidR="00000000" w:rsidDel="00000000" w:rsidP="00000000" w:rsidRDefault="00000000" w:rsidRPr="00000000" w14:paraId="000000A0">
      <w:pPr>
        <w:spacing w:line="480" w:lineRule="auto"/>
        <w:ind w:left="72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“10 Photographs of ‘Operation Musketeer.’” </w:t>
      </w:r>
      <w:r w:rsidDel="00000000" w:rsidR="00000000" w:rsidRPr="00000000">
        <w:rPr>
          <w:rFonts w:ascii="Century Gothic" w:cs="Century Gothic" w:eastAsia="Century Gothic" w:hAnsi="Century Gothic"/>
          <w:i w:val="1"/>
          <w:iCs w:val="1"/>
          <w:rtl w:val="0"/>
        </w:rPr>
        <w:t xml:space="preserve">Imperial War Museums</w:t>
      </w:r>
      <w:r w:rsidDel="00000000" w:rsidR="00000000" w:rsidRPr="00000000">
        <w:rPr>
          <w:rFonts w:ascii="Century Gothic" w:cs="Century Gothic" w:eastAsia="Century Gothic" w:hAnsi="Century Gothic"/>
          <w:rtl w:val="0"/>
        </w:rPr>
        <w:t xml:space="preserve">, 2018, www.iwm.org.uk/history/cold-war/suez-crisis/operation-musketeer#:~:text=“Operation%20Musketeer”%20was%20the%20codename,Egyptian%20president%20Gamal%20Abdel%20Nasser.. Accessed 25 Apr. 2026.</w:t>
      </w:r>
    </w:p>
    <w:p w:rsidR="00000000" w:rsidDel="00000000" w:rsidP="00000000" w:rsidRDefault="00000000" w:rsidRPr="00000000" w14:paraId="000000A1">
      <w:pPr>
        <w:spacing w:line="480" w:lineRule="auto"/>
        <w:ind w:left="72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Avi Shlaim. “The Protocol of Séevres, 1956: Anatomy of a War Plot.” </w:t>
      </w:r>
      <w:r w:rsidDel="00000000" w:rsidR="00000000" w:rsidRPr="00000000">
        <w:rPr>
          <w:rFonts w:ascii="Century Gothic" w:cs="Century Gothic" w:eastAsia="Century Gothic" w:hAnsi="Century Gothic"/>
          <w:i w:val="1"/>
          <w:iCs w:val="1"/>
          <w:rtl w:val="0"/>
        </w:rPr>
        <w:t xml:space="preserve">International Affairs</w:t>
      </w:r>
      <w:r w:rsidDel="00000000" w:rsidR="00000000" w:rsidRPr="00000000">
        <w:rPr>
          <w:rFonts w:ascii="Century Gothic" w:cs="Century Gothic" w:eastAsia="Century Gothic" w:hAnsi="Century Gothic"/>
          <w:rtl w:val="0"/>
        </w:rPr>
        <w:t xml:space="preserve">, vol. 73, no. 3, Oxford University Press, July 1997, pp. 509–30, https://doi.org/10.2307/2624270. Accessed 24 Apr. 2026.</w:t>
      </w:r>
    </w:p>
    <w:p w:rsidR="00000000" w:rsidDel="00000000" w:rsidP="00000000" w:rsidRDefault="00000000" w:rsidRPr="00000000" w14:paraId="000000A2">
      <w:pPr>
        <w:spacing w:line="480" w:lineRule="auto"/>
        <w:ind w:left="72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Britannica Editors. “Suez Crisis | Definition, Summary, Location, History, Dates, Significance, &amp; Facts.” </w:t>
      </w:r>
      <w:r w:rsidDel="00000000" w:rsidR="00000000" w:rsidRPr="00000000">
        <w:rPr>
          <w:rFonts w:ascii="Century Gothic" w:cs="Century Gothic" w:eastAsia="Century Gothic" w:hAnsi="Century Gothic"/>
          <w:i w:val="1"/>
          <w:iCs w:val="1"/>
          <w:rtl w:val="0"/>
        </w:rPr>
        <w:t xml:space="preserve">Encyclopedia Britannica</w:t>
      </w:r>
      <w:r w:rsidDel="00000000" w:rsidR="00000000" w:rsidRPr="00000000">
        <w:rPr>
          <w:rFonts w:ascii="Century Gothic" w:cs="Century Gothic" w:eastAsia="Century Gothic" w:hAnsi="Century Gothic"/>
          <w:rtl w:val="0"/>
        </w:rPr>
        <w:t xml:space="preserve">, 20 July 1998, www.britannica.com/event/Suez-Crisis. Accessed 24 Apr. 2026.</w:t>
      </w:r>
    </w:p>
    <w:p w:rsidR="00000000" w:rsidDel="00000000" w:rsidP="00000000" w:rsidRDefault="00000000" w:rsidRPr="00000000" w14:paraId="000000A3">
      <w:pPr>
        <w:spacing w:line="480" w:lineRule="auto"/>
        <w:ind w:left="72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Cambridge Dictionary. “Ceasefire.” </w:t>
      </w:r>
      <w:r w:rsidDel="00000000" w:rsidR="00000000" w:rsidRPr="00000000">
        <w:rPr>
          <w:rFonts w:ascii="Century Gothic" w:cs="Century Gothic" w:eastAsia="Century Gothic" w:hAnsi="Century Gothic"/>
          <w:i w:val="1"/>
          <w:iCs w:val="1"/>
          <w:rtl w:val="0"/>
        </w:rPr>
        <w:t xml:space="preserve">@CambridgeWords</w:t>
      </w:r>
      <w:r w:rsidDel="00000000" w:rsidR="00000000" w:rsidRPr="00000000">
        <w:rPr>
          <w:rFonts w:ascii="Century Gothic" w:cs="Century Gothic" w:eastAsia="Century Gothic" w:hAnsi="Century Gothic"/>
          <w:rtl w:val="0"/>
        </w:rPr>
        <w:t xml:space="preserve">, 2 Mar. 2022, dictionary.cambridge.org/dictionary/english/ceasefire.</w:t>
      </w:r>
    </w:p>
    <w:p w:rsidR="00000000" w:rsidDel="00000000" w:rsidP="00000000" w:rsidRDefault="00000000" w:rsidRPr="00000000" w14:paraId="000000A4">
      <w:pPr>
        <w:spacing w:line="480" w:lineRule="auto"/>
        <w:ind w:left="72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“Historical Documents - Office of the Historian.” </w:t>
      </w:r>
      <w:r w:rsidDel="00000000" w:rsidR="00000000" w:rsidRPr="00000000">
        <w:rPr>
          <w:rFonts w:ascii="Century Gothic" w:cs="Century Gothic" w:eastAsia="Century Gothic" w:hAnsi="Century Gothic"/>
          <w:i w:val="1"/>
          <w:iCs w:val="1"/>
          <w:rtl w:val="0"/>
        </w:rPr>
        <w:t xml:space="preserve">State.gov</w:t>
      </w:r>
      <w:r w:rsidDel="00000000" w:rsidR="00000000" w:rsidRPr="00000000">
        <w:rPr>
          <w:rFonts w:ascii="Century Gothic" w:cs="Century Gothic" w:eastAsia="Century Gothic" w:hAnsi="Century Gothic"/>
          <w:rtl w:val="0"/>
        </w:rPr>
        <w:t xml:space="preserve">, 2026, history.state.gov/historicaldocuments/frus1955-57v16/d87. Accessed 20 Apr. 2026.</w:t>
      </w:r>
    </w:p>
    <w:p w:rsidR="00000000" w:rsidDel="00000000" w:rsidP="00000000" w:rsidRDefault="00000000" w:rsidRPr="00000000" w14:paraId="000000A5">
      <w:pPr>
        <w:spacing w:line="480" w:lineRule="auto"/>
        <w:ind w:left="72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“Historical Documents - Office of the Historian.” </w:t>
      </w:r>
      <w:r w:rsidDel="00000000" w:rsidR="00000000" w:rsidRPr="00000000">
        <w:rPr>
          <w:rFonts w:ascii="Century Gothic" w:cs="Century Gothic" w:eastAsia="Century Gothic" w:hAnsi="Century Gothic"/>
          <w:i w:val="1"/>
          <w:iCs w:val="1"/>
          <w:rtl w:val="0"/>
        </w:rPr>
        <w:t xml:space="preserve">State.gov</w:t>
      </w:r>
      <w:r w:rsidDel="00000000" w:rsidR="00000000" w:rsidRPr="00000000">
        <w:rPr>
          <w:rFonts w:ascii="Century Gothic" w:cs="Century Gothic" w:eastAsia="Century Gothic" w:hAnsi="Century Gothic"/>
          <w:rtl w:val="0"/>
        </w:rPr>
        <w:t xml:space="preserve">, 2026, history.state.gov/historicaldocuments/frus1955-57v16/d198. Accessed 24 Apr. 2026.</w:t>
      </w:r>
    </w:p>
    <w:p w:rsidR="00000000" w:rsidDel="00000000" w:rsidP="00000000" w:rsidRDefault="00000000" w:rsidRPr="00000000" w14:paraId="000000A6">
      <w:pPr>
        <w:spacing w:line="480" w:lineRule="auto"/>
        <w:ind w:left="72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“Historical Documents - Office of the Historian.” </w:t>
      </w:r>
      <w:r w:rsidDel="00000000" w:rsidR="00000000" w:rsidRPr="00000000">
        <w:rPr>
          <w:rFonts w:ascii="Century Gothic" w:cs="Century Gothic" w:eastAsia="Century Gothic" w:hAnsi="Century Gothic"/>
          <w:i w:val="1"/>
          <w:iCs w:val="1"/>
          <w:rtl w:val="0"/>
        </w:rPr>
        <w:t xml:space="preserve">State.gov</w:t>
      </w:r>
      <w:r w:rsidDel="00000000" w:rsidR="00000000" w:rsidRPr="00000000">
        <w:rPr>
          <w:rFonts w:ascii="Century Gothic" w:cs="Century Gothic" w:eastAsia="Century Gothic" w:hAnsi="Century Gothic"/>
          <w:rtl w:val="0"/>
        </w:rPr>
        <w:t xml:space="preserve">, 2026, history.state.gov/historicaldocuments/frus1955-57v16/comp1. Accessed 26 Apr. 2026.</w:t>
      </w:r>
    </w:p>
    <w:p w:rsidR="00000000" w:rsidDel="00000000" w:rsidP="00000000" w:rsidRDefault="00000000" w:rsidRPr="00000000" w14:paraId="000000A7">
      <w:pPr>
        <w:spacing w:line="480" w:lineRule="auto"/>
        <w:ind w:left="72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John, Robert St. “Gamal Abdel Nasser | Biography &amp; Facts.” </w:t>
      </w:r>
      <w:r w:rsidDel="00000000" w:rsidR="00000000" w:rsidRPr="00000000">
        <w:rPr>
          <w:rFonts w:ascii="Century Gothic" w:cs="Century Gothic" w:eastAsia="Century Gothic" w:hAnsi="Century Gothic"/>
          <w:i w:val="1"/>
          <w:iCs w:val="1"/>
          <w:rtl w:val="0"/>
        </w:rPr>
        <w:t xml:space="preserve">Encyclopedia Britannica</w:t>
      </w:r>
      <w:r w:rsidDel="00000000" w:rsidR="00000000" w:rsidRPr="00000000">
        <w:rPr>
          <w:rFonts w:ascii="Century Gothic" w:cs="Century Gothic" w:eastAsia="Century Gothic" w:hAnsi="Century Gothic"/>
          <w:rtl w:val="0"/>
        </w:rPr>
        <w:t xml:space="preserve">, 12 Jan. 2000, www.britannica.com/biography/Gamal-Abdel-Nasser. Accessed 9 May 2026.</w:t>
      </w:r>
    </w:p>
    <w:p w:rsidR="00000000" w:rsidDel="00000000" w:rsidP="00000000" w:rsidRDefault="00000000" w:rsidRPr="00000000" w14:paraId="000000A8">
      <w:pPr>
        <w:spacing w:line="480" w:lineRule="auto"/>
        <w:ind w:left="72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Krasner, S. D. “Sovereignty: Political.” </w:t>
      </w:r>
      <w:r w:rsidDel="00000000" w:rsidR="00000000" w:rsidRPr="00000000">
        <w:rPr>
          <w:rFonts w:ascii="Century Gothic" w:cs="Century Gothic" w:eastAsia="Century Gothic" w:hAnsi="Century Gothic"/>
          <w:i w:val="1"/>
          <w:iCs w:val="1"/>
          <w:rtl w:val="0"/>
        </w:rPr>
        <w:t xml:space="preserve">International Encyclopedia of the Social &amp; Behavioral Sciences</w:t>
      </w:r>
      <w:r w:rsidDel="00000000" w:rsidR="00000000" w:rsidRPr="00000000">
        <w:rPr>
          <w:rFonts w:ascii="Century Gothic" w:cs="Century Gothic" w:eastAsia="Century Gothic" w:hAnsi="Century Gothic"/>
          <w:rtl w:val="0"/>
        </w:rPr>
        <w:t xml:space="preserve">, Elsevier, 2001, pp. 14706–9, https://doi.org/10.1016/b0-08-043076-7/01276-6. Accessed 9 May 2026.</w:t>
      </w:r>
    </w:p>
    <w:p w:rsidR="00000000" w:rsidDel="00000000" w:rsidP="00000000" w:rsidRDefault="00000000" w:rsidRPr="00000000" w14:paraId="000000A9">
      <w:pPr>
        <w:spacing w:line="480" w:lineRule="auto"/>
        <w:ind w:left="72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“Milestones in the History of U.S. Foreign Relations - Office of the Historian.” </w:t>
      </w:r>
      <w:r w:rsidDel="00000000" w:rsidR="00000000" w:rsidRPr="00000000">
        <w:rPr>
          <w:rFonts w:ascii="Century Gothic" w:cs="Century Gothic" w:eastAsia="Century Gothic" w:hAnsi="Century Gothic"/>
          <w:i w:val="1"/>
          <w:iCs w:val="1"/>
          <w:rtl w:val="0"/>
        </w:rPr>
        <w:t xml:space="preserve">State.gov</w:t>
      </w:r>
      <w:r w:rsidDel="00000000" w:rsidR="00000000" w:rsidRPr="00000000">
        <w:rPr>
          <w:rFonts w:ascii="Century Gothic" w:cs="Century Gothic" w:eastAsia="Century Gothic" w:hAnsi="Century Gothic"/>
          <w:rtl w:val="0"/>
        </w:rPr>
        <w:t xml:space="preserve">, 2026, history.state.gov/milestones/1953-1960/suez. Accessed 25 Apr. 2026.</w:t>
      </w:r>
    </w:p>
    <w:p w:rsidR="00000000" w:rsidDel="00000000" w:rsidP="00000000" w:rsidRDefault="00000000" w:rsidRPr="00000000" w14:paraId="000000AA">
      <w:pPr>
        <w:spacing w:line="480" w:lineRule="auto"/>
        <w:ind w:left="72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“NATIONALIZATION | Meaning in the Cambridge English Dictionary.” </w:t>
      </w:r>
      <w:r w:rsidDel="00000000" w:rsidR="00000000" w:rsidRPr="00000000">
        <w:rPr>
          <w:rFonts w:ascii="Century Gothic" w:cs="Century Gothic" w:eastAsia="Century Gothic" w:hAnsi="Century Gothic"/>
          <w:i w:val="1"/>
          <w:iCs w:val="1"/>
          <w:rtl w:val="0"/>
        </w:rPr>
        <w:t xml:space="preserve">Dictionary.cambridge.org</w:t>
      </w:r>
      <w:r w:rsidDel="00000000" w:rsidR="00000000" w:rsidRPr="00000000">
        <w:rPr>
          <w:rFonts w:ascii="Century Gothic" w:cs="Century Gothic" w:eastAsia="Century Gothic" w:hAnsi="Century Gothic"/>
          <w:rtl w:val="0"/>
        </w:rPr>
        <w:t xml:space="preserve">, dictionary.cambridge.org/dictionary/english/nationalization.</w:t>
      </w:r>
    </w:p>
    <w:p w:rsidR="00000000" w:rsidDel="00000000" w:rsidP="00000000" w:rsidRDefault="00000000" w:rsidRPr="00000000" w14:paraId="000000AB">
      <w:pPr>
        <w:spacing w:line="480" w:lineRule="auto"/>
        <w:ind w:left="72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Nations, United. “Resolution 118.” </w:t>
      </w:r>
      <w:r w:rsidDel="00000000" w:rsidR="00000000" w:rsidRPr="00000000">
        <w:rPr>
          <w:rFonts w:ascii="Century Gothic" w:cs="Century Gothic" w:eastAsia="Century Gothic" w:hAnsi="Century Gothic"/>
          <w:i w:val="1"/>
          <w:iCs w:val="1"/>
          <w:rtl w:val="0"/>
        </w:rPr>
        <w:t xml:space="preserve">Un.org</w:t>
      </w:r>
      <w:r w:rsidDel="00000000" w:rsidR="00000000" w:rsidRPr="00000000">
        <w:rPr>
          <w:rFonts w:ascii="Century Gothic" w:cs="Century Gothic" w:eastAsia="Century Gothic" w:hAnsi="Century Gothic"/>
          <w:rtl w:val="0"/>
        </w:rPr>
        <w:t xml:space="preserve">, 2026, docs.un.org/en/S/RES/118(1956). Accessed 20 Apr. 2026.</w:t>
      </w:r>
    </w:p>
    <w:p w:rsidR="00000000" w:rsidDel="00000000" w:rsidP="00000000" w:rsidRDefault="00000000" w:rsidRPr="00000000" w14:paraId="000000AC">
      <w:pPr>
        <w:spacing w:line="480" w:lineRule="auto"/>
        <w:ind w:left="72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“SCA - </w:t>
        <w:tab/>
        <w:t xml:space="preserve">Canal History.” </w:t>
      </w:r>
      <w:r w:rsidDel="00000000" w:rsidR="00000000" w:rsidRPr="00000000">
        <w:rPr>
          <w:rFonts w:ascii="Century Gothic" w:cs="Century Gothic" w:eastAsia="Century Gothic" w:hAnsi="Century Gothic"/>
          <w:i w:val="1"/>
          <w:iCs w:val="1"/>
          <w:rtl w:val="0"/>
        </w:rPr>
        <w:t xml:space="preserve">Suezcanal.gov.eg</w:t>
      </w:r>
      <w:r w:rsidDel="00000000" w:rsidR="00000000" w:rsidRPr="00000000">
        <w:rPr>
          <w:rFonts w:ascii="Century Gothic" w:cs="Century Gothic" w:eastAsia="Century Gothic" w:hAnsi="Century Gothic"/>
          <w:rtl w:val="0"/>
        </w:rPr>
        <w:t xml:space="preserve">, 2026, www.suezcanal.gov.eg/English/About/SuezCanal/Pages/CanalHistory.aspx. Accessed 25 Apr. 2026.</w:t>
      </w:r>
    </w:p>
    <w:p w:rsidR="00000000" w:rsidDel="00000000" w:rsidP="00000000" w:rsidRDefault="00000000" w:rsidRPr="00000000" w14:paraId="000000AD">
      <w:pPr>
        <w:spacing w:line="480" w:lineRule="auto"/>
        <w:ind w:left="72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“Goal 16 | Department of Economic and Social Affairs.” Un.Org, 2026, https://sdgs.un.org/goals/goal16. Accessed 31 July 2026.</w:t>
      </w:r>
    </w:p>
    <w:p w:rsidR="00000000" w:rsidDel="00000000" w:rsidP="00000000" w:rsidRDefault="00000000" w:rsidRPr="00000000" w14:paraId="000000AE">
      <w:pPr>
        <w:spacing w:line="480" w:lineRule="auto"/>
        <w:ind w:left="72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“SCA - </w:t>
        <w:tab/>
        <w:t xml:space="preserve">Constantinople Convention.” </w:t>
      </w:r>
      <w:r w:rsidDel="00000000" w:rsidR="00000000" w:rsidRPr="00000000">
        <w:rPr>
          <w:rFonts w:ascii="Century Gothic" w:cs="Century Gothic" w:eastAsia="Century Gothic" w:hAnsi="Century Gothic"/>
          <w:i w:val="1"/>
          <w:iCs w:val="1"/>
          <w:rtl w:val="0"/>
        </w:rPr>
        <w:t xml:space="preserve">Suezcanal.gov.eg</w:t>
      </w:r>
      <w:r w:rsidDel="00000000" w:rsidR="00000000" w:rsidRPr="00000000">
        <w:rPr>
          <w:rFonts w:ascii="Century Gothic" w:cs="Century Gothic" w:eastAsia="Century Gothic" w:hAnsi="Century Gothic"/>
          <w:rtl w:val="0"/>
        </w:rPr>
        <w:t xml:space="preserve">, 2026, www.suezcanal.gov.eg/English/About/CanalTreatiesAndDecrees/Pages/ConstantinopleConvention.aspx. Accessed 9 May 2026.</w:t>
      </w:r>
    </w:p>
    <w:p w:rsidR="00000000" w:rsidDel="00000000" w:rsidP="00000000" w:rsidRDefault="00000000" w:rsidRPr="00000000" w14:paraId="000000AF">
      <w:pPr>
        <w:spacing w:line="480" w:lineRule="auto"/>
        <w:ind w:left="72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“Security Council Approves 6 Basic Principles for Suez Settlement.” </w:t>
      </w:r>
      <w:r w:rsidDel="00000000" w:rsidR="00000000" w:rsidRPr="00000000">
        <w:rPr>
          <w:rFonts w:ascii="Century Gothic" w:cs="Century Gothic" w:eastAsia="Century Gothic" w:hAnsi="Century Gothic"/>
          <w:i w:val="1"/>
          <w:iCs w:val="1"/>
          <w:rtl w:val="0"/>
        </w:rPr>
        <w:t xml:space="preserve">UN Photo</w:t>
      </w:r>
      <w:r w:rsidDel="00000000" w:rsidR="00000000" w:rsidRPr="00000000">
        <w:rPr>
          <w:rFonts w:ascii="Century Gothic" w:cs="Century Gothic" w:eastAsia="Century Gothic" w:hAnsi="Century Gothic"/>
          <w:rtl w:val="0"/>
        </w:rPr>
        <w:t xml:space="preserve">, 19 Mar. 2024, media.un.org/photo/en/asset/oun7/oun7713022#:~:text=The%20Security%20Council%20late%20Saturday,vetoed%20by%20the%20Soviet%20Union. Accessed 25 Apr. 2026.</w:t>
      </w:r>
    </w:p>
    <w:p w:rsidR="00000000" w:rsidDel="00000000" w:rsidP="00000000" w:rsidRDefault="00000000" w:rsidRPr="00000000" w14:paraId="000000B0">
      <w:pPr>
        <w:spacing w:line="480" w:lineRule="auto"/>
        <w:ind w:left="72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“Stories from the UN Archive: UN’s First Peacekeeping Force | Naciones Unidas.” </w:t>
      </w:r>
      <w:r w:rsidDel="00000000" w:rsidR="00000000" w:rsidRPr="00000000">
        <w:rPr>
          <w:rFonts w:ascii="Century Gothic" w:cs="Century Gothic" w:eastAsia="Century Gothic" w:hAnsi="Century Gothic"/>
          <w:i w:val="1"/>
          <w:iCs w:val="1"/>
          <w:rtl w:val="0"/>
        </w:rPr>
        <w:t xml:space="preserve">United Nations</w:t>
      </w:r>
      <w:r w:rsidDel="00000000" w:rsidR="00000000" w:rsidRPr="00000000">
        <w:rPr>
          <w:rFonts w:ascii="Century Gothic" w:cs="Century Gothic" w:eastAsia="Century Gothic" w:hAnsi="Century Gothic"/>
          <w:rtl w:val="0"/>
        </w:rPr>
        <w:t xml:space="preserve">, 2024, www.un.org/es/node/217682. Accessed 20 Apr. 2026.</w:t>
      </w:r>
    </w:p>
    <w:p w:rsidR="00000000" w:rsidDel="00000000" w:rsidP="00000000" w:rsidRDefault="00000000" w:rsidRPr="00000000" w14:paraId="000000B1">
      <w:pPr>
        <w:spacing w:line="480" w:lineRule="auto"/>
        <w:ind w:left="72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“Suez Crisis | National Army Museum.” </w:t>
      </w:r>
      <w:r w:rsidDel="00000000" w:rsidR="00000000" w:rsidRPr="00000000">
        <w:rPr>
          <w:rFonts w:ascii="Century Gothic" w:cs="Century Gothic" w:eastAsia="Century Gothic" w:hAnsi="Century Gothic"/>
          <w:i w:val="1"/>
          <w:iCs w:val="1"/>
          <w:rtl w:val="0"/>
        </w:rPr>
        <w:t xml:space="preserve">Nam.ac.uk</w:t>
      </w:r>
      <w:r w:rsidDel="00000000" w:rsidR="00000000" w:rsidRPr="00000000">
        <w:rPr>
          <w:rFonts w:ascii="Century Gothic" w:cs="Century Gothic" w:eastAsia="Century Gothic" w:hAnsi="Century Gothic"/>
          <w:rtl w:val="0"/>
        </w:rPr>
        <w:t xml:space="preserve">, 2025, www.nam.ac.uk/explore/suez-crisis. Accessed 9 May 2026.</w:t>
      </w:r>
    </w:p>
    <w:p w:rsidR="00000000" w:rsidDel="00000000" w:rsidP="00000000" w:rsidRDefault="00000000" w:rsidRPr="00000000" w14:paraId="000000B2">
      <w:pPr>
        <w:spacing w:line="480" w:lineRule="auto"/>
        <w:ind w:left="72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LegalClarity Team. “Suez Canal vs Cape of Good Hope: Cost, Time, and Risk - LegalClarity.” LegalClarity, 20 June 2026, https://legalclarity.org/suez-canal-vs-cape-of-good-hope-cost-time-and-risk/. Accessed 31 July 2026.</w:t>
      </w:r>
    </w:p>
    <w:p w:rsidR="00000000" w:rsidDel="00000000" w:rsidP="00000000" w:rsidRDefault="00000000" w:rsidRPr="00000000" w14:paraId="000000B3">
      <w:pPr>
        <w:spacing w:line="480" w:lineRule="auto"/>
        <w:ind w:left="72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Suez Canal Company Nationalization Law. 1956.  Accessed 31 July 2026.</w:t>
      </w:r>
    </w:p>
    <w:p w:rsidR="00000000" w:rsidDel="00000000" w:rsidP="00000000" w:rsidRDefault="00000000" w:rsidRPr="00000000" w14:paraId="000000B4">
      <w:pPr>
        <w:spacing w:line="480" w:lineRule="auto"/>
        <w:ind w:left="72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Louis, Wm. Roger. “Nasser’s Nationalization of the Suez Canal Company.” The End of the British Empire in the Middle East, 1952—1971, 13 Mar. 2025, pp. 223–238, https://academic.oup.com/book/59730/chapter-abstract/507135845?login=false&amp;redirectedFrom=fulltext, 10.1093/oso/9780198201977.003.0012. Accessed 31 July 2026.</w:t>
      </w:r>
    </w:p>
    <w:p w:rsidR="00000000" w:rsidDel="00000000" w:rsidP="00000000" w:rsidRDefault="00000000" w:rsidRPr="00000000" w14:paraId="000000B5">
      <w:pPr>
        <w:spacing w:line="480" w:lineRule="auto"/>
        <w:ind w:left="72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t>
      </w:r>
    </w:p>
    <w:p w:rsidR="00000000" w:rsidDel="00000000" w:rsidP="00000000" w:rsidRDefault="00000000" w:rsidRPr="00000000" w14:paraId="000000B6">
      <w:pPr>
        <w:spacing w:line="480" w:lineRule="auto"/>
        <w:ind w:left="72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t>
      </w:r>
    </w:p>
    <w:p w:rsidR="00000000" w:rsidDel="00000000" w:rsidP="00000000" w:rsidRDefault="00000000" w:rsidRPr="00000000" w14:paraId="000000B7">
      <w:pPr>
        <w:spacing w:line="480" w:lineRule="auto"/>
        <w:ind w:left="72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t>
      </w:r>
    </w:p>
    <w:p w:rsidR="00000000" w:rsidDel="00000000" w:rsidP="00000000" w:rsidRDefault="00000000" w:rsidRPr="00000000" w14:paraId="000000B8">
      <w:pPr>
        <w:spacing w:line="480" w:lineRule="auto"/>
        <w:ind w:left="1200" w:hanging="600"/>
        <w:rPr>
          <w:rFonts w:ascii="Century Gothic" w:cs="Century Gothic" w:eastAsia="Century Gothic" w:hAnsi="Century Gothic"/>
        </w:rPr>
      </w:pPr>
      <w:r w:rsidDel="00000000" w:rsidR="00000000" w:rsidRPr="00000000">
        <w:rPr>
          <w:rtl w:val="0"/>
        </w:rPr>
      </w:r>
    </w:p>
    <w:sectPr>
      <w:headerReference r:id="rId23" w:type="default"/>
      <w:footerReference r:id="rId24"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9">
    <w:pPr>
      <w:widowControl w:val="0"/>
      <w:tabs>
        <w:tab w:val="center" w:leader="none" w:pos="4320"/>
        <w:tab w:val="right" w:leader="none" w:pos="8640"/>
      </w:tabs>
      <w:spacing w:line="240" w:lineRule="auto"/>
      <w:jc w:val="right"/>
      <w:rPr>
        <w:rFonts w:ascii="Century Gothic" w:cs="Century Gothic" w:eastAsia="Century Gothic" w:hAnsi="Century Gothic"/>
      </w:rPr>
    </w:pPr>
    <w:r w:rsidDel="00000000" w:rsidR="00000000" w:rsidRPr="00000000">
      <w:rPr>
        <w:rFonts w:ascii="Century Gothic" w:cs="Century Gothic" w:eastAsia="Century Gothic" w:hAnsi="Century Gothic"/>
        <w:sz w:val="18"/>
        <w:szCs w:val="18"/>
        <w:rtl w:val="0"/>
      </w:rPr>
      <w:t xml:space="preserve"> </w:t>
    </w:r>
    <w:r w:rsidDel="00000000" w:rsidR="00000000" w:rsidRPr="00000000">
      <w:rPr>
        <w:rFonts w:ascii="Century Gothic" w:cs="Century Gothic" w:eastAsia="Century Gothic" w:hAnsi="Century Gothic"/>
        <w:b w:val="1"/>
        <w:bCs w:val="1"/>
        <w:sz w:val="18"/>
        <w:szCs w:val="18"/>
        <w:rtl w:val="0"/>
      </w:rPr>
      <w:t xml:space="preserve">Research Report</w:t>
    </w:r>
    <w:r w:rsidDel="00000000" w:rsidR="00000000" w:rsidRPr="00000000">
      <w:rPr>
        <w:rFonts w:ascii="Century Gothic" w:cs="Century Gothic" w:eastAsia="Century Gothic" w:hAnsi="Century Gothic"/>
        <w:sz w:val="18"/>
        <w:szCs w:val="18"/>
        <w:rtl w:val="0"/>
      </w:rPr>
      <w:t xml:space="preserve"> | Page </w:t>
    </w:r>
    <w:r w:rsidDel="00000000" w:rsidR="00000000" w:rsidRPr="00000000">
      <w:rPr>
        <w:rFonts w:ascii="Century Gothic" w:cs="Century Gothic" w:eastAsia="Century Gothic" w:hAnsi="Century Gothic"/>
        <w:sz w:val="18"/>
        <w:szCs w:val="18"/>
      </w:rPr>
      <w:fldChar w:fldCharType="begin"/>
      <w:instrText xml:space="preserve">PAGE</w:instrText>
      <w:fldChar w:fldCharType="separate"/>
      <w:fldChar w:fldCharType="end"/>
    </w:r>
    <w:r w:rsidDel="00000000" w:rsidR="00000000" w:rsidRPr="00000000">
      <w:rPr>
        <w:rFonts w:ascii="Century Gothic" w:cs="Century Gothic" w:eastAsia="Century Gothic" w:hAnsi="Century Gothic"/>
        <w:sz w:val="18"/>
        <w:szCs w:val="18"/>
        <w:rtl w:val="0"/>
      </w:rPr>
      <w:t xml:space="preserve"> of </w:t>
    </w:r>
    <w:r w:rsidDel="00000000" w:rsidR="00000000" w:rsidRPr="00000000">
      <w:rPr>
        <w:rFonts w:ascii="Century Gothic" w:cs="Century Gothic" w:eastAsia="Century Gothic" w:hAnsi="Century Gothic"/>
        <w:sz w:val="18"/>
        <w:szCs w:val="18"/>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A">
    <w:pPr>
      <w:widowControl w:val="0"/>
      <w:tabs>
        <w:tab w:val="center" w:leader="none" w:pos="4320"/>
        <w:tab w:val="right" w:leader="none" w:pos="8640"/>
      </w:tabs>
      <w:spacing w:before="708" w:line="240" w:lineRule="auto"/>
      <w:jc w:val="right"/>
      <w:rPr>
        <w:rFonts w:ascii="Century Gothic" w:cs="Century Gothic" w:eastAsia="Century Gothic" w:hAnsi="Century Gothic"/>
      </w:rPr>
    </w:pPr>
    <w:r w:rsidDel="00000000" w:rsidR="00000000" w:rsidRPr="00000000">
      <w:rPr>
        <w:rFonts w:ascii="Century Gothic" w:cs="Century Gothic" w:eastAsia="Century Gothic" w:hAnsi="Century Gothic"/>
        <w:b w:val="1"/>
        <w:bCs w:val="1"/>
        <w:sz w:val="18"/>
        <w:szCs w:val="18"/>
        <w:rtl w:val="0"/>
      </w:rPr>
      <w:t xml:space="preserve">Panama Model United Nations </w:t>
    </w:r>
    <w:r w:rsidDel="00000000" w:rsidR="00000000" w:rsidRPr="00000000">
      <w:rPr>
        <w:rFonts w:ascii="Century Gothic" w:cs="Century Gothic" w:eastAsia="Century Gothic" w:hAnsi="Century Gothic"/>
        <w:b w:val="1"/>
        <w:bCs w:val="1"/>
        <w:color w:val="0000ff"/>
        <w:sz w:val="18"/>
        <w:szCs w:val="18"/>
        <w:rtl w:val="0"/>
      </w:rPr>
      <w:t xml:space="preserve">2026 </w:t>
    </w:r>
    <w:r w:rsidDel="00000000" w:rsidR="00000000" w:rsidRPr="00000000">
      <w:rPr>
        <w:rFonts w:ascii="Century Gothic" w:cs="Century Gothic" w:eastAsia="Century Gothic" w:hAnsi="Century Gothic"/>
        <w:sz w:val="18"/>
        <w:szCs w:val="18"/>
        <w:rtl w:val="0"/>
      </w:rPr>
      <w:t xml:space="preserve">| XXXIV Annual Session</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nam.ac.uk/explore/suez-crisis" TargetMode="External"/><Relationship Id="rId11" Type="http://schemas.openxmlformats.org/officeDocument/2006/relationships/hyperlink" Target="https://dictionary.cambridge.org/dictionary/english/business" TargetMode="External"/><Relationship Id="rId22" Type="http://schemas.openxmlformats.org/officeDocument/2006/relationships/hyperlink" Target="https://www.jstor.org/stable/2624270?seq=1" TargetMode="External"/><Relationship Id="rId10" Type="http://schemas.openxmlformats.org/officeDocument/2006/relationships/hyperlink" Target="https://dictionary.cambridge.org/dictionary/english/control" TargetMode="External"/><Relationship Id="rId21" Type="http://schemas.openxmlformats.org/officeDocument/2006/relationships/hyperlink" Target="https://www.suezcanal.gov.eg/English/About/CanalTreatiesAndDecrees/Pages/ConstantinopleConvention.aspx" TargetMode="External"/><Relationship Id="rId13" Type="http://schemas.openxmlformats.org/officeDocument/2006/relationships/hyperlink" Target="https://dictionary.cambridge.org/dictionary/english/agreement" TargetMode="External"/><Relationship Id="rId24" Type="http://schemas.openxmlformats.org/officeDocument/2006/relationships/footer" Target="footer1.xml"/><Relationship Id="rId12" Type="http://schemas.openxmlformats.org/officeDocument/2006/relationships/hyperlink" Target="https://dictionary.cambridge.org/dictionary/english/industry" TargetMode="External"/><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ictionary.cambridge.org/dictionary/english/government" TargetMode="External"/><Relationship Id="rId15" Type="http://schemas.openxmlformats.org/officeDocument/2006/relationships/hyperlink" Target="https://dictionary.cambridge.org/dictionary/english/stop" TargetMode="External"/><Relationship Id="rId14" Type="http://schemas.openxmlformats.org/officeDocument/2006/relationships/hyperlink" Target="https://dictionary.cambridge.org/dictionary/english/army" TargetMode="External"/><Relationship Id="rId17" Type="http://schemas.openxmlformats.org/officeDocument/2006/relationships/hyperlink" Target="https://dictionary.cambridge.org/dictionary/english/allow" TargetMode="External"/><Relationship Id="rId16" Type="http://schemas.openxmlformats.org/officeDocument/2006/relationships/hyperlink" Target="https://dictionary.cambridge.org/dictionary/english/fight" TargetMode="External"/><Relationship Id="rId5" Type="http://schemas.openxmlformats.org/officeDocument/2006/relationships/styles" Target="styles.xml"/><Relationship Id="rId19" Type="http://schemas.openxmlformats.org/officeDocument/2006/relationships/hyperlink" Target="https://history.state.gov/historicaldocuments/frus1955-57v16/comp1" TargetMode="External"/><Relationship Id="rId6" Type="http://schemas.openxmlformats.org/officeDocument/2006/relationships/customXml" Target="../customXML/item1.xml"/><Relationship Id="rId18" Type="http://schemas.openxmlformats.org/officeDocument/2006/relationships/hyperlink" Target="https://dictionary.cambridge.org/dictionary/english/discussion" TargetMode="External"/><Relationship Id="rId7" Type="http://schemas.openxmlformats.org/officeDocument/2006/relationships/image" Target="media/image1.png"/><Relationship Id="rId8" Type="http://schemas.openxmlformats.org/officeDocument/2006/relationships/hyperlink" Target="https://dictionary.cambridge.org/dictionary/english/proces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MLA" SelectedStyle="/MLASeventhEditionOfficeOnline.xsl" Version="7">
  <b:Source>
    <b:Tag>source1</b:Tag>
    <b:SourceType>DocumentFromInternetSite</b:SourceType>
    <b:DayAccessed>9</b:DayAccessed>
    <b:MonthAccessed>May</b:MonthAccessed>
    <b:Title>Deforestation and Forest Degradation | Threats | WWF</b:Title>
    <b:URL>https://www.worldwildlife.org/threats/deforestation-and-forest-degradation</b:URL>
    <b:InternetSiteTitle>World Wildlife Fund</b:InternetSiteTitle>
    <b:Year>2022</b:Year>
    <b:YearAccessed>2023</b:YearAccessed>
    <b:Gdcea>{"AccessedType":"Website"}</b:Gdcea>
    <b:Author>
      <b:Author>
        <b:Corporate>World Wide Fund for Nature</b:Corporate>
      </b:Author>
    </b:Author>
  </b:Source>
  <b:Source>
    <b:Tag>source2</b:Tag>
    <b:SourceType>DocumentFromInternetSite</b:SourceType>
    <b:DayAccessed>7</b:DayAccessed>
    <b:MonthAccessed>April</b:MonthAccessed>
    <b:Title>The Ethics of Legalizing Medical Marijuana | Section Title | Ethical Inquiry | ENACT: The Educational Network for Active Civic Transformation</b:Title>
    <b:URL>https://www.brandeis.edu/enact/archive/ethical-inquiry/2013/legalizing-marijuana.html</b:URL>
    <b:InternetSiteTitle>Brandeis University</b:InternetSiteTitle>
    <b:Year>2013</b:Year>
    <b:YearAccessed>2024</b:YearAccessed>
    <b:Gdcea>{"AccessedType":"Website"}</b:Gdcea>
    <b:Author>
      <b:Author>
        <b:Corporate>Brandeis University</b:Corporate>
      </b:Author>
    </b:Author>
  </b:Source>
  <b:Source>
    <b:Tag>source3</b:Tag>
    <b:SourceType>DocumentFromInternetSite</b:SourceType>
    <b:Day>10</b:Day>
    <b:DayAccessed>7</b:DayAccessed>
    <b:Month>July</b:Month>
    <b:MonthAccessed>April</b:MonthAccessed>
    <b:Title>Drug Misuse and Addiction</b:Title>
    <b:URL>https://nida.nih.gov/publications/drugs-brains-behavior-science-addiction/drug-misuse-addiction</b:URL>
    <b:InternetSiteTitle>National Institute on Drug Abuse</b:InternetSiteTitle>
    <b:Year>2020</b:Year>
    <b:YearAccessed>2024</b:YearAccessed>
    <b:Gdcea>{"AccessedType":"Website"}</b:Gdcea>
    <b:Author>
      <b:Author>
        <b:Corporate>National Institute on Drug Abuse</b:Corporate>
      </b:Author>
    </b:Author>
  </b:Source>
  <b:Source>
    <b:Tag>source4</b:Tag>
    <b:SourceType>DocumentFromInternetSite</b:SourceType>
    <b:Day>5</b:Day>
    <b:DayAccessed>7</b:DayAccessed>
    <b:Month>March</b:Month>
    <b:MonthAccessed>April</b:MonthAccessed>
    <b:Title>War on Drugs | History &amp; Mass Incarceration</b:Title>
    <b:URL>https://www.britannica.com/topic/war-on-drugs</b:URL>
    <b:InternetSiteTitle>Britannica</b:InternetSiteTitle>
    <b:Year>2024</b:Year>
    <b:YearAccessed>2024</b:YearAccessed>
    <b:Gdcea>{"AccessedType":"Website"}</b:Gdcea>
    <b:Author>
      <b:Author>
        <b:NameList>
          <b:Person>
            <b:First>Philip</b:First>
            <b:Last>Jenkins</b:Last>
          </b:Person>
        </b:NameList>
      </b:Author>
    </b:Author>
  </b:Source>
  <b:Source>
    <b:Tag>source5</b:Tag>
    <b:SourceType>DocumentFromInternetSite</b:SourceType>
    <b:DayAccessed>7</b:DayAccessed>
    <b:MonthAccessed>April</b:MonthAccessed>
    <b:Title>Definition of opioid - NCI Dictionary of Cancer Terms - NCI</b:Title>
    <b:URL>https://www.cancer.gov/publications/dictionaries/cancer-terms/def/opioid</b:URL>
    <b:InternetSiteTitle>National Cancer Institute</b:InternetSiteTitle>
    <b:Year>2024</b:Year>
    <b:YearAccessed>2024</b:YearAccessed>
    <b:Gdcea>{"AccessedType":"Website"}</b:Gdcea>
    <b:Author>
      <b:Author>
        <b:Corporate>National Cancer Institute</b:Corporate>
      </b:Author>
    </b:Author>
  </b:Source>
  <b:Source>
    <b:Tag>source6</b:Tag>
    <b:SourceType>DocumentFromInternetSite</b:SourceType>
    <b:DayAccessed>7</b:DayAccessed>
    <b:MonthAccessed>April</b:MonthAccessed>
    <b:Title>Opioid Overdose | Drug Overdose | CDC Injury Center</b:Title>
    <b:URL>https://www.cdc.gov/drugoverdose/deaths/opioid-overdose.html</b:URL>
    <b:InternetSiteTitle>Centers for Disease Control and Prevention</b:InternetSiteTitle>
    <b:Year>2021</b:Year>
    <b:YearAccessed>2024</b:YearAccessed>
    <b:Gdcea>{"AccessedType":"Website"}</b:Gdcea>
    <b:Author>
      <b:Author>
        <b:Corporate>Centers for Disease Control and Prevention</b:Corporate>
      </b:Author>
    </b:Author>
  </b:Source>
  <b:Source>
    <b:Tag>source7</b:Tag>
    <b:SourceType>DocumentFromInternetSite</b:SourceType>
    <b:DayAccessed>7</b:DayAccessed>
    <b:Month>March</b:Month>
    <b:MonthAccessed>April</b:MonthAccessed>
    <b:Title>Opioids</b:Title>
    <b:URL>https://nida.nih.gov/research-topics/opioids</b:URL>
    <b:InternetSiteTitle>National Institute on Drug Abuse</b:InternetSiteTitle>
    <b:Year>2024</b:Year>
    <b:YearAccessed>2024</b:YearAccessed>
    <b:Gdcea>{"AccessedType":"Website"}</b:Gdcea>
    <b:Author>
      <b:Author>
        <b:Corporate>National Institute on Drug Abuse</b:Corporate>
      </b:Author>
    </b:Author>
  </b:Source>
  <b:Source>
    <b:Tag>source8</b:Tag>
    <b:SourceType>DocumentFromInternetSite</b:SourceType>
    <b:DayAccessed>7</b:DayAccessed>
    <b:MonthAccessed>April</b:MonthAccessed>
    <b:Title>America's War on Drugs — 50 Years Later</b:Title>
    <b:URL>https://civilrights.org/blog/americas-war-on-drugs-50-years-later/</b:URL>
    <b:InternetSiteTitle>The Leadership Conference on Civil and Human Rights</b:InternetSiteTitle>
    <b:Year>2021</b:Year>
    <b:YearAccessed>2024</b:YearAccessed>
    <b:Gdcea>{"AccessedType":"Website"}</b:Gdcea>
    <b:Author>
      <b:Author>
        <b:NameList>
          <b:Person>
            <b:First>Ignacio</b:First>
            <b:Middle>Diaz</b:Middle>
            <b:Last>Pascual</b:Last>
          </b:Person>
        </b:NameList>
      </b:Author>
    </b:Author>
  </b:Source>
  <b:Source>
    <b:Tag>source9</b:Tag>
    <b:SourceType>DocumentFromInternetSite</b:SourceType>
    <b:Day>8</b:Day>
    <b:DayAccessed>7</b:DayAccessed>
    <b:Month>May</b:Month>
    <b:MonthAccessed>April</b:MonthAccessed>
    <b:Title>The war on drugs, explained</b:Title>
    <b:URL>https://www.vox.com/2016/5/8/18089368/war-on-drugs-marijuana-cocaine-heroin-meth</b:URL>
    <b:InternetSiteTitle>Vox</b:InternetSiteTitle>
    <b:Year>2016</b:Year>
    <b:YearAccessed>2024</b:YearAccessed>
    <b:Gdcea>{"AccessedType":"Website"}</b:Gdcea>
    <b:Author>
      <b:Author>
        <b:NameList>
          <b:Person>
            <b:First>German</b:First>
            <b:Last>Lopez</b:Last>
          </b:Person>
        </b:NameList>
      </b:Author>
    </b:Author>
  </b:Source>
  <b:Source>
    <b:Tag>source10</b:Tag>
    <b:SourceType>DocumentFromInternetSite</b:SourceType>
    <b:Day>3</b:Day>
    <b:DayAccessed>8</b:DayAccessed>
    <b:Month>January</b:Month>
    <b:MonthAccessed>April</b:MonthAccessed>
    <b:Title>Prescription Drug Abuse &amp; Addiction Treatment Near Me</b:Title>
    <b:URL>https://americanaddictioncenters.org/prescription-drugs</b:URL>
    <b:InternetSiteTitle>American Addiction Centers</b:InternetSiteTitle>
    <b:Year>2024</b:Year>
    <b:YearAccessed>2024</b:YearAccessed>
    <b:Gdcea>{"AccessedType":"Website"}</b:Gdcea>
    <b:Author>
      <b:Author>
        <b:Corporate>US Department of Health</b:Corporate>
      </b:Author>
    </b:Author>
  </b:Source>
  <b:Source>
    <b:Tag>source11</b:Tag>
    <b:SourceType>DocumentFromInternetSite</b:SourceType>
    <b:Day>24</b:Day>
    <b:DayAccessed>8</b:DayAccessed>
    <b:Month>March</b:Month>
    <b:MonthAccessed>April</b:MonthAccessed>
    <b:Title>What Are Gateway Drugs? - Crest View Recovery</b:Title>
    <b:URL>https://www.crestviewrecoverycenter.com/addiction-blog/gateway-drugs/</b:URL>
    <b:InternetSiteTitle>Crest View Recovery Center</b:InternetSiteTitle>
    <b:Year>2024</b:Year>
    <b:YearAccessed>2024</b:YearAccessed>
    <b:Gdcea>{"AccessedType":"Website"}</b:Gdcea>
    <b:Author>
      <b:Author>
        <b:Corporate>Gateway Drugs Individual Counseling</b:Corporate>
      </b:Author>
    </b:Author>
  </b:Source>
  <b:Source>
    <b:Tag>source12</b:Tag>
    <b:SourceType>DocumentFromInternetSite</b:SourceType>
    <b:DayAccessed>12</b:DayAccessed>
    <b:MonthAccessed>April</b:MonthAccessed>
    <b:Title>Single Convention on Narcotic Drugs</b:Title>
    <b:URL>https://polis.osce.org/single-convention-narcotic-drugs</b:URL>
    <b:InternetSiteTitle>OSCE POLIS</b:InternetSiteTitle>
    <b:Year>2024</b:Year>
    <b:YearAccessed>2024</b:YearAccessed>
    <b:Gdcea>{"AccessedType":"Website"}</b:Gdcea>
    <b:Author>
      <b:Author>
        <b:Corporate>OSCE</b:Corporate>
      </b:Author>
    </b:Author>
  </b:Source>
  <b:Source>
    <b:Tag>source13</b:Tag>
    <b:SourceType>DocumentFromInternetSite</b:SourceType>
    <b:DayAccessed>12</b:DayAccessed>
    <b:MonthAccessed>April</b:MonthAccessed>
    <b:Title>Single Convention on Narcotic Drugs, 1961</b:Title>
    <b:URL>https://www.unodc.org/unodc/en/treaties/single-convention.html</b:URL>
    <b:InternetSiteTitle>United Nations Office on Drugs and Crime</b:InternetSiteTitle>
    <b:YearAccessed>2024</b:YearAccessed>
    <b:Gdcea>{"AccessedType":"Website"}</b:Gdcea>
    <b:Author>
      <b:Author>
        <b:Corporate>United Nations Office on Drugs and Crimes</b:Corporate>
      </b:Author>
    </b:Author>
  </b:Source>
  <b:Source>
    <b:Tag>source14</b:Tag>
    <b:SourceType>DocumentFromInternetSite</b:SourceType>
    <b:DayAccessed>12</b:DayAccessed>
    <b:MonthAccessed>April</b:MonthAccessed>
    <b:Title>UNTC</b:Title>
    <b:URL>https://treaties.un.org/Pages/ViewDetails.aspx?src=TREATY&amp;mtdsg_no=VI-18&amp;chapter=6&amp;clang=_en</b:URL>
    <b:InternetSiteTitle>UNTC</b:InternetSiteTitle>
    <b:YearAccessed>2024</b:YearAccessed>
    <b:Gdcea>{"AccessedType":"Website"}</b:Gdcea>
    <b:Author>
      <b:Author>
        <b:Corporate>United Nations Treaty Collection</b:Corporate>
      </b:Author>
    </b:Author>
  </b:Source>
  <b:Source>
    <b:Tag>source15</b:Tag>
    <b:SourceType>DocumentFromInternetSite</b:SourceType>
    <b:Day>21</b:Day>
    <b:DayAccessed>12</b:DayAccessed>
    <b:Month>April</b:Month>
    <b:MonthAccessed>April</b:MonthAccessed>
    <b:Title>Scheduling medicines as controlled substances: addressing normative and democratic gaps through human rights-based analysis</b:Title>
    <b:URL>https://www.ncbi.nlm.nih.gov/pmc/articles/PMC7171726/</b:URL>
    <b:InternetSiteTitle>NCBI</b:InternetSiteTitle>
    <b:Year>2020</b:Year>
    <b:YearAccessed>2024</b:YearAccessed>
    <b:Gdcea>{"AccessedType":"Website"}</b:Gdcea>
    <b:Author>
      <b:Author>
        <b:Corporate>National Institute of Health</b:Corporate>
      </b:Author>
    </b:Author>
  </b:Source>
  <b:Source>
    <b:Tag>source16</b:Tag>
    <b:SourceType>DocumentFromInternetSite</b:SourceType>
    <b:DayAccessed>12</b:DayAccessed>
    <b:MonthAccessed>April</b:MonthAccessed>
    <b:Title>International Drug Control Conventions (1961, 1971 and 1988 Conventions)</b:Title>
    <b:URL>https://www.wto.org/english/res_e/booksp_e/int_exp_regs_part2_1_e.pdf</b:URL>
    <b:InternetSiteTitle>World Trade Organization</b:InternetSiteTitle>
    <b:Year>2023</b:Year>
    <b:YearAccessed>2024</b:YearAccessed>
    <b:Gdcea>{"AccessedType":"Website"}</b:Gdcea>
    <b:Author>
      <b:Author>
        <b:Corporate>International Narcotics Control Board</b:Corporate>
      </b:Author>
    </b:Author>
  </b:Source>
  <b:Source>
    <b:Tag>source17</b:Tag>
    <b:SourceType>DocumentFromInternetSite</b:SourceType>
    <b:Day>20</b:Day>
    <b:DayAccessed>13</b:DayAccessed>
    <b:Month>December</b:Month>
    <b:MonthAccessed>April</b:MonthAccessed>
    <b:Title>Strengthening of palliative care as a component of integrated treatment throughout the life course</b:Title>
    <b:URL>https://apps.who.int/gb/ebwha/pdf_files/EB134/B134_28-en.pdf</b:URL>
    <b:InternetSiteTitle>World Health Organization (WHO)</b:InternetSiteTitle>
    <b:Year>2013</b:Year>
    <b:YearAccessed>2024</b:YearAccessed>
    <b:Gdcea>{"AccessedType":"Website"}</b:Gdcea>
    <b:Author>
      <b:Author>
        <b:Corporate>World Health Organization</b:Corporate>
      </b:Author>
    </b:Author>
  </b:Source>
  <b:Source>
    <b:Tag>source18</b:Tag>
    <b:SourceType>DocumentFromInternetSite</b:SourceType>
    <b:DayAccessed>14</b:DayAccessed>
    <b:MonthAccessed>April</b:MonthAccessed>
    <b:Title>INCB Psychotropic Substances</b:Title>
    <b:URL>https://www.incb.org/incb/en/psychotropics/index.html</b:URL>
    <b:InternetSiteTitle>INCB</b:InternetSiteTitle>
    <b:YearAccessed>2024</b:YearAccessed>
    <b:Gdcea>{"AccessedType":"Website"}</b:Gdcea>
    <b:Author>
      <b:Author>
        <b:Corporate>International Narcotics Control Board</b:Corporate>
      </b:Author>
    </b:Author>
  </b:Source>
  <b:Source>
    <b:Tag>source19</b:Tag>
    <b:SourceType>DocumentFromInternetSite</b:SourceType>
    <b:DayAccessed>14</b:DayAccessed>
    <b:MonthAccessed>April</b:MonthAccessed>
    <b:Publisher>International Narcotics Control Board</b:Publisher>
    <b:Title>Psychotropic Substances 2023 (Statistics for 2022)</b:Title>
    <b:URL>https://www.incb.org/documents/Psychotropics/technical-publications/2023/2323691-Psychotropic-Substances-2023-ebook.pdf</b:URL>
    <b:InternetSiteTitle>Wikipedia</b:InternetSiteTitle>
    <b:YearAccessed>2024</b:YearAccessed>
    <b:Gdcea>{"AccessedType":"Website"}</b:Gdcea>
    <b:Author>
      <b:Author>
        <b:Corporate>International Narcotics Control Board</b:Corporate>
      </b:Author>
    </b:Author>
  </b:Source>
  <b:Source>
    <b:Tag>source20</b:Tag>
    <b:SourceType>DocumentFromInternetSite</b:SourceType>
    <b:DayAccessed>6</b:DayAccessed>
    <b:MonthAccessed>May</b:MonthAccessed>
    <b:URL>https://nida.nih.gov/research-topics/trends-statistics/overdose-death-rates</b:URL>
    <b:InternetSiteTitle>NIDA.NIH.GOV | National Institute on Drug Abuse (NIDA)</b:InternetSiteTitle>
    <b:YearAccessed>2024</b:YearAccessed>
    <b:Gdcea>{"AccessedType":"Website"}</b:Gdcea>
  </b:Source>
</b:Sources>
</file>

<file path=customXML/itemProps1.xml><?xml version="1.0" encoding="utf-8"?>
<ds:datastoreItem xmlns:ds="http://schemas.openxmlformats.org/officeDocument/2006/customXml" ds:itemID="{22222222-1234-1234-1234-123412341234}">
  <ds:schemaRefs>
    <ds:schemaRef ds:uri="http://schemas.openxmlformats.org/officeDocument/2006/bibliography"/>
  </ds:schemaRefs>
</ds:datastoreItem>
</file>